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923"/>
        </w:tabs>
        <w:spacing w:before="120"/>
        <w:rPr>
          <w:rFonts w:hint="default" w:ascii="Arial" w:hAnsi="Arial" w:eastAsia="MS Mincho"/>
          <w:b/>
          <w:sz w:val="24"/>
          <w:lang w:val="en-US"/>
        </w:rPr>
      </w:pPr>
      <w:r>
        <w:rPr>
          <w:rFonts w:ascii="Arial" w:hAnsi="Arial" w:eastAsia="MS Mincho"/>
          <w:b/>
          <w:sz w:val="24"/>
          <w:lang w:val="en-GB"/>
        </w:rPr>
        <w:t>3GPP TSG-RAN WG2 Meeting #10</w:t>
      </w:r>
      <w:r>
        <w:rPr>
          <w:rFonts w:hint="default" w:ascii="Arial" w:hAnsi="Arial" w:eastAsia="MS Mincho"/>
          <w:b/>
          <w:sz w:val="24"/>
          <w:lang w:val="en-US"/>
        </w:rPr>
        <w:t>7</w:t>
      </w:r>
      <w:r>
        <w:rPr>
          <w:rFonts w:ascii="Arial" w:hAnsi="Arial" w:eastAsia="MS Mincho"/>
          <w:b/>
          <w:sz w:val="24"/>
          <w:lang w:val="en-GB"/>
        </w:rPr>
        <w:tab/>
      </w:r>
      <w:r>
        <w:rPr>
          <w:rFonts w:hint="eastAsia" w:ascii="Arial" w:hAnsi="Arial" w:eastAsia="MS Mincho"/>
          <w:b/>
          <w:sz w:val="24"/>
          <w:lang w:val="en-GB"/>
        </w:rPr>
        <w:t>R2-1910750</w:t>
      </w:r>
    </w:p>
    <w:p>
      <w:pPr>
        <w:widowControl w:val="0"/>
        <w:tabs>
          <w:tab w:val="left" w:pos="1701"/>
          <w:tab w:val="right" w:pos="9923"/>
        </w:tabs>
        <w:spacing w:before="120"/>
        <w:rPr>
          <w:rFonts w:hint="default" w:ascii="Arial" w:hAnsi="Arial" w:eastAsia="MS Mincho"/>
          <w:b/>
          <w:sz w:val="24"/>
          <w:lang w:val="en-US"/>
        </w:rPr>
      </w:pPr>
      <w:r>
        <w:rPr>
          <w:rFonts w:ascii="Arial" w:hAnsi="Arial" w:eastAsia="MS Mincho" w:cs="Times New Roman"/>
          <w:b/>
          <w:sz w:val="24"/>
          <w:szCs w:val="24"/>
          <w:lang w:val="en-GB" w:eastAsia="zh-CN" w:bidi="ar-SA"/>
        </w:rPr>
        <w:t>Prague, Czech Republic,26th - 30th August 2019</w:t>
      </w:r>
      <w:r>
        <w:rPr>
          <w:rFonts w:hint="default" w:ascii="Arial" w:hAnsi="Arial" w:eastAsia="MS Mincho"/>
          <w:b/>
          <w:i/>
          <w:sz w:val="24"/>
          <w:lang w:val="en-US"/>
        </w:rPr>
        <w:tab/>
      </w:r>
      <w:r>
        <w:rPr>
          <w:rFonts w:hint="default" w:ascii="Arial" w:hAnsi="Arial" w:eastAsia="MS Mincho"/>
          <w:b/>
          <w:i/>
          <w:sz w:val="24"/>
          <w:lang w:val="en-US"/>
        </w:rPr>
        <w:t xml:space="preserve"> Revision of </w:t>
      </w:r>
      <w:r>
        <w:rPr>
          <w:rFonts w:ascii="Arial" w:hAnsi="Arial" w:eastAsia="MS Mincho"/>
          <w:b/>
          <w:i/>
          <w:sz w:val="24"/>
        </w:rPr>
        <w:t>R2-190</w:t>
      </w:r>
      <w:r>
        <w:rPr>
          <w:rFonts w:hint="default" w:ascii="Arial" w:hAnsi="Arial" w:eastAsia="MS Mincho"/>
          <w:b/>
          <w:i/>
          <w:sz w:val="24"/>
          <w:lang w:val="en-US"/>
        </w:rPr>
        <w:t>7097</w:t>
      </w:r>
    </w:p>
    <w:p>
      <w:pPr>
        <w:overflowPunct w:val="0"/>
        <w:autoSpaceDE w:val="0"/>
        <w:autoSpaceDN w:val="0"/>
        <w:adjustRightInd w:val="0"/>
        <w:snapToGrid w:val="0"/>
        <w:jc w:val="left"/>
        <w:textAlignment w:val="baseline"/>
        <w:rPr>
          <w:rFonts w:ascii="Arial" w:hAnsi="Arial" w:cs="Arial"/>
          <w:b/>
          <w:bCs/>
          <w:kern w:val="0"/>
          <w:sz w:val="24"/>
        </w:rPr>
      </w:pPr>
      <w:bookmarkStart w:id="2" w:name="_GoBack"/>
      <w:bookmarkEnd w:id="2"/>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Title:</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On delay reduction of </w:t>
      </w:r>
      <w:r>
        <w:rPr>
          <w:rFonts w:ascii="Arial" w:hAnsi="Arial" w:cs="Arial"/>
          <w:b/>
          <w:bCs/>
          <w:snapToGrid w:val="0"/>
          <w:kern w:val="0"/>
          <w:sz w:val="24"/>
        </w:rPr>
        <w:t>SCell</w:t>
      </w:r>
      <w:r>
        <w:rPr>
          <w:rFonts w:hint="eastAsia" w:ascii="Arial" w:hAnsi="Arial" w:cs="Arial"/>
          <w:b/>
          <w:bCs/>
          <w:snapToGrid w:val="0"/>
          <w:kern w:val="0"/>
          <w:sz w:val="24"/>
        </w:rPr>
        <w:t xml:space="preserve"> Activation</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11.10.4.2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Introduction</w:t>
      </w:r>
    </w:p>
    <w:p>
      <w:pPr>
        <w:spacing w:after="0"/>
        <w:rPr>
          <w:rFonts w:hint="default"/>
          <w:bCs/>
          <w:szCs w:val="21"/>
          <w:lang w:val="en-US"/>
        </w:rPr>
      </w:pPr>
      <w:r>
        <w:rPr>
          <w:rFonts w:hint="default"/>
          <w:bCs/>
          <w:szCs w:val="21"/>
          <w:lang w:val="en-US"/>
        </w:rPr>
        <w:t>In RAN2#106, it was agreed that both dormancy behavior and temporary RS resources at Scell activation will be studied as solution for fast SCell activation.</w:t>
      </w:r>
    </w:p>
    <w:p>
      <w:pPr>
        <w:pStyle w:val="82"/>
        <w:pBdr>
          <w:top w:val="single" w:color="auto" w:sz="4" w:space="1"/>
          <w:left w:val="single" w:color="auto" w:sz="4" w:space="4"/>
          <w:bottom w:val="single" w:color="auto" w:sz="4" w:space="1"/>
          <w:right w:val="single" w:color="auto" w:sz="4" w:space="4"/>
        </w:pBdr>
        <w:rPr>
          <w:highlight w:val="none"/>
        </w:rPr>
      </w:pPr>
      <w:r>
        <w:rPr>
          <w:highlight w:val="none"/>
        </w:rPr>
        <w:t>Agreement</w:t>
      </w:r>
    </w:p>
    <w:p>
      <w:pPr>
        <w:pStyle w:val="82"/>
        <w:pBdr>
          <w:top w:val="single" w:color="auto" w:sz="4" w:space="1"/>
          <w:left w:val="single" w:color="auto" w:sz="4" w:space="4"/>
          <w:bottom w:val="single" w:color="auto" w:sz="4" w:space="1"/>
          <w:right w:val="single" w:color="auto" w:sz="4" w:space="4"/>
        </w:pBdr>
        <w:rPr>
          <w:highlight w:val="none"/>
        </w:rPr>
      </w:pPr>
      <w:r>
        <w:rPr>
          <w:highlight w:val="none"/>
        </w:rPr>
        <w:t>1</w:t>
      </w:r>
      <w:r>
        <w:rPr>
          <w:highlight w:val="none"/>
        </w:rPr>
        <w:tab/>
      </w:r>
      <w:r>
        <w:rPr>
          <w:highlight w:val="none"/>
        </w:rPr>
        <w:t xml:space="preserve">SCell dormant state like LTE euCA will not be introduced in NR. </w:t>
      </w:r>
    </w:p>
    <w:p>
      <w:pPr>
        <w:pStyle w:val="82"/>
        <w:pBdr>
          <w:top w:val="single" w:color="auto" w:sz="4" w:space="1"/>
          <w:left w:val="single" w:color="auto" w:sz="4" w:space="4"/>
          <w:bottom w:val="single" w:color="auto" w:sz="4" w:space="1"/>
          <w:right w:val="single" w:color="auto" w:sz="4" w:space="4"/>
        </w:pBdr>
        <w:rPr>
          <w:highlight w:val="none"/>
        </w:rPr>
      </w:pPr>
      <w:r>
        <w:rPr>
          <w:highlight w:val="none"/>
        </w:rPr>
        <w:t>2</w:t>
      </w:r>
      <w:r>
        <w:rPr>
          <w:highlight w:val="none"/>
        </w:rPr>
        <w:tab/>
      </w:r>
      <w:r>
        <w:rPr>
          <w:highlight w:val="none"/>
        </w:rPr>
        <w:t>‘dormancy’ behaviour will be studied as a solution for fast return to SCell utilisation for data transfer. The 'dormancy' behaviour implies that the UE stops monitoring PDCCH but continues other activities such as CSI measurements, AGC and beam management. RAN1/4 input required on feasibility and benefit.</w:t>
      </w:r>
    </w:p>
    <w:p>
      <w:pPr>
        <w:spacing w:after="0"/>
        <w:rPr>
          <w:rFonts w:hint="default"/>
          <w:bCs/>
          <w:szCs w:val="21"/>
          <w:highlight w:val="yellow"/>
          <w:lang w:val="en-US"/>
        </w:rPr>
      </w:pPr>
    </w:p>
    <w:p>
      <w:pPr>
        <w:pStyle w:val="82"/>
        <w:pBdr>
          <w:top w:val="single" w:color="auto" w:sz="4" w:space="1"/>
          <w:left w:val="single" w:color="auto" w:sz="4" w:space="4"/>
          <w:bottom w:val="single" w:color="auto" w:sz="4" w:space="1"/>
          <w:right w:val="single" w:color="auto" w:sz="4" w:space="4"/>
        </w:pBdr>
        <w:rPr>
          <w:highlight w:val="none"/>
        </w:rPr>
      </w:pPr>
      <w:r>
        <w:rPr>
          <w:highlight w:val="none"/>
        </w:rPr>
        <w:t>1</w:t>
      </w:r>
      <w:r>
        <w:rPr>
          <w:highlight w:val="none"/>
        </w:rPr>
        <w:tab/>
      </w:r>
      <w:r>
        <w:rPr>
          <w:highlight w:val="none"/>
        </w:rPr>
        <w:t>Temporary RS resources at SCell activation will be studied as a solution for  fast SCell activation. RAN1/4 input required on feasibility and benefit.</w:t>
      </w:r>
    </w:p>
    <w:p>
      <w:pPr>
        <w:spacing w:after="0"/>
        <w:rPr>
          <w:rFonts w:hint="default"/>
          <w:bCs/>
          <w:szCs w:val="21"/>
          <w:lang w:val="en-US"/>
        </w:rPr>
      </w:pPr>
      <w:r>
        <w:rPr>
          <w:rFonts w:hint="default"/>
          <w:bCs/>
          <w:szCs w:val="21"/>
          <w:lang w:val="en-US"/>
        </w:rPr>
        <w:t>This contribution provides further consideration on the benefit and related impact on RAN2 specification.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Discussion</w:t>
      </w:r>
    </w:p>
    <w:p>
      <w:pPr>
        <w:rPr>
          <w:rFonts w:hint="default"/>
          <w:b/>
          <w:bCs/>
          <w:i/>
          <w:iCs/>
          <w:u w:val="single"/>
          <w:lang w:val="en-US" w:eastAsia="zh-CN"/>
        </w:rPr>
      </w:pPr>
      <w:r>
        <w:rPr>
          <w:rFonts w:hint="default"/>
          <w:b/>
          <w:bCs/>
          <w:i/>
          <w:iCs/>
          <w:u w:val="single"/>
          <w:lang w:val="en-US" w:eastAsia="zh-CN"/>
        </w:rPr>
        <w:t>Activation delay with dormancy behavior</w:t>
      </w:r>
    </w:p>
    <w:p>
      <w:pPr>
        <w:rPr>
          <w:highlight w:val="yellow"/>
          <w:lang w:val="en-GB" w:eastAsia="zh-CN"/>
        </w:rPr>
      </w:pPr>
      <w:r>
        <w:rPr>
          <w:rFonts w:hint="eastAsia"/>
          <w:lang w:eastAsia="zh-CN"/>
        </w:rPr>
        <w:t>B</w:t>
      </w:r>
      <w:r>
        <w:rPr>
          <w:lang w:eastAsia="zh-CN"/>
        </w:rPr>
        <w:t xml:space="preserve">ased on TS38.133, </w:t>
      </w:r>
      <w:r>
        <w:rPr>
          <w:lang w:val="en-GB" w:eastAsia="zh-CN"/>
        </w:rPr>
        <w:t>upon receiving SCell activation command in slot n, the UE shall be capable to transmit valid CSI report and apply actions related to the activation command for the SCell being activated no later than in slot n + [T</w:t>
      </w:r>
      <w:r>
        <w:rPr>
          <w:vertAlign w:val="subscript"/>
          <w:lang w:val="en-GB" w:eastAsia="zh-CN"/>
        </w:rPr>
        <w:t>HARQ</w:t>
      </w:r>
      <w:r>
        <w:rPr>
          <w:lang w:val="en-GB" w:eastAsia="zh-CN"/>
        </w:rPr>
        <w:t xml:space="preserve"> + T</w:t>
      </w:r>
      <w:r>
        <w:rPr>
          <w:vertAlign w:val="subscript"/>
          <w:lang w:val="en-GB" w:eastAsia="zh-CN"/>
        </w:rPr>
        <w:t>activation_time</w:t>
      </w:r>
      <w:r>
        <w:rPr>
          <w:lang w:val="en-GB" w:eastAsia="zh-CN"/>
        </w:rPr>
        <w:t xml:space="preserve"> + T</w:t>
      </w:r>
      <w:r>
        <w:rPr>
          <w:vertAlign w:val="subscript"/>
          <w:lang w:val="en-GB" w:eastAsia="zh-CN"/>
        </w:rPr>
        <w:t>CSI_Reporting</w:t>
      </w:r>
      <w:r>
        <w:rPr>
          <w:lang w:val="en-GB" w:eastAsia="zh-CN"/>
        </w:rPr>
        <w:t xml:space="preserve">], </w:t>
      </w:r>
      <w:r>
        <w:rPr>
          <w:highlight w:val="none"/>
          <w:lang w:val="en-GB" w:eastAsia="zh-CN"/>
        </w:rPr>
        <w:t>where T</w:t>
      </w:r>
      <w:r>
        <w:rPr>
          <w:highlight w:val="none"/>
          <w:vertAlign w:val="subscript"/>
          <w:lang w:val="en-GB" w:eastAsia="zh-CN"/>
        </w:rPr>
        <w:t>HARQ</w:t>
      </w:r>
      <w:r>
        <w:rPr>
          <w:highlight w:val="none"/>
          <w:lang w:val="en-GB" w:eastAsia="zh-CN"/>
        </w:rPr>
        <w:t xml:space="preserve"> is the timing between DL data transmission and acknowledgement, i.e., </w:t>
      </w:r>
      <m:oMath>
        <m:sSub>
          <m:sSubPr>
            <m:ctrlPr>
              <w:rPr>
                <w:rFonts w:ascii="Cambria Math" w:hAnsi="Cambria Math"/>
                <w:highlight w:val="none"/>
                <w:lang w:val="en-GB" w:eastAsia="zh-CN"/>
              </w:rPr>
            </m:ctrlPr>
          </m:sSubPr>
          <m:e>
            <m:r>
              <w:rPr>
                <w:rFonts w:ascii="Cambria Math" w:hAnsi="Cambria Math"/>
                <w:highlight w:val="none"/>
                <w:lang w:val="en-GB" w:eastAsia="zh-CN"/>
              </w:rPr>
              <m:t>k</m:t>
            </m:r>
            <m:ctrlPr>
              <w:rPr>
                <w:rFonts w:ascii="Cambria Math" w:hAnsi="Cambria Math"/>
                <w:highlight w:val="none"/>
                <w:lang w:val="en-GB" w:eastAsia="zh-CN"/>
              </w:rPr>
            </m:ctrlPr>
          </m:e>
          <m:sub>
            <m:r>
              <w:rPr>
                <w:rFonts w:ascii="Cambria Math" w:hAnsi="Cambria Math"/>
                <w:highlight w:val="none"/>
                <w:lang w:val="en-GB" w:eastAsia="zh-CN"/>
              </w:rPr>
              <m:t>1</m:t>
            </m:r>
            <m:ctrlPr>
              <w:rPr>
                <w:rFonts w:ascii="Cambria Math" w:hAnsi="Cambria Math"/>
                <w:highlight w:val="none"/>
                <w:lang w:val="en-GB" w:eastAsia="zh-CN"/>
              </w:rPr>
            </m:ctrlPr>
          </m:sub>
        </m:sSub>
        <m:r>
          <w:rPr>
            <w:rFonts w:ascii="Cambria Math" w:hAnsi="Cambria Math"/>
            <w:highlight w:val="none"/>
            <w:lang w:val="en-GB" w:eastAsia="zh-CN"/>
          </w:rPr>
          <m:t xml:space="preserve"> </m:t>
        </m:r>
      </m:oMath>
      <w:r>
        <w:rPr>
          <w:highlight w:val="none"/>
          <w:lang w:val="en-GB" w:eastAsia="zh-CN"/>
        </w:rPr>
        <w:t>as defined in RAN1. T</w:t>
      </w:r>
      <w:r>
        <w:rPr>
          <w:highlight w:val="none"/>
          <w:vertAlign w:val="subscript"/>
          <w:lang w:val="en-GB" w:eastAsia="zh-CN"/>
        </w:rPr>
        <w:t>activation_time</w:t>
      </w:r>
      <w:r>
        <w:rPr>
          <w:highlight w:val="none"/>
          <w:lang w:val="en-GB" w:eastAsia="zh-CN"/>
        </w:rPr>
        <w:t xml:space="preserve"> is mainly for L2 processing, time/frequency-domain synchronization, RF warm up and AGC adjustment. It largely depends on the frequency range, SCell measurement cycle and whether the SCell is known or unknown. T</w:t>
      </w:r>
      <w:r>
        <w:rPr>
          <w:highlight w:val="none"/>
          <w:vertAlign w:val="subscript"/>
          <w:lang w:val="en-GB" w:eastAsia="zh-CN"/>
        </w:rPr>
        <w:t>CSI_Reporting</w:t>
      </w:r>
      <w:r>
        <w:rPr>
          <w:highlight w:val="none"/>
          <w:lang w:val="en-GB" w:eastAsia="zh-CN"/>
        </w:rPr>
        <w:t xml:space="preserve"> is the delay including uncertainty in acquiring the first available downlink CSI reference resource, UE processing time for CSI reporting and uncertainty in acquiring the first available CSI reporting resource. </w:t>
      </w:r>
    </w:p>
    <w:p>
      <w:pPr>
        <w:rPr>
          <w:lang w:val="en-GB" w:eastAsia="zh-CN"/>
        </w:rPr>
      </w:pPr>
      <w:r>
        <w:rPr>
          <w:lang w:val="en-GB" w:eastAsia="zh-CN"/>
        </w:rPr>
        <w:t xml:space="preserve">TS38.133 has finalized the SCell activation </w:t>
      </w:r>
      <w:r>
        <w:rPr>
          <w:rFonts w:hint="eastAsia"/>
          <w:lang w:eastAsia="zh-CN"/>
        </w:rPr>
        <w:t xml:space="preserve">latency </w:t>
      </w:r>
      <w:r>
        <w:rPr>
          <w:lang w:val="en-GB" w:eastAsia="zh-CN"/>
        </w:rPr>
        <w:t xml:space="preserve">requirement for FR1 while the </w:t>
      </w:r>
      <w:r>
        <w:rPr>
          <w:rFonts w:hint="eastAsia"/>
          <w:lang w:eastAsia="zh-CN"/>
        </w:rPr>
        <w:t xml:space="preserve">latency </w:t>
      </w:r>
      <w:r>
        <w:rPr>
          <w:lang w:val="en-GB" w:eastAsia="zh-CN"/>
        </w:rPr>
        <w:t>for FR2 is still under discussion. The delay analysis in this contribution is mainly based on FR1.</w:t>
      </w:r>
    </w:p>
    <w:p>
      <w:pPr>
        <w:widowControl/>
        <w:overflowPunct w:val="0"/>
        <w:autoSpaceDE w:val="0"/>
        <w:autoSpaceDN w:val="0"/>
        <w:adjustRightInd w:val="0"/>
        <w:spacing w:after="180" w:line="240" w:lineRule="auto"/>
        <w:textAlignment w:val="baseline"/>
        <w:rPr>
          <w:rFonts w:eastAsia="宋体"/>
          <w:kern w:val="0"/>
          <w:sz w:val="20"/>
          <w:szCs w:val="20"/>
          <w:lang w:eastAsia="zh-CN"/>
        </w:rPr>
      </w:pPr>
      <w:r>
        <w:rPr>
          <w:rFonts w:hint="eastAsia" w:eastAsia="宋体"/>
          <w:kern w:val="0"/>
          <w:sz w:val="20"/>
          <w:szCs w:val="20"/>
          <w:lang w:eastAsia="zh-CN"/>
        </w:rPr>
        <w:t>A</w:t>
      </w:r>
      <w:r>
        <w:rPr>
          <w:rFonts w:eastAsia="宋体"/>
          <w:kern w:val="0"/>
          <w:sz w:val="20"/>
          <w:szCs w:val="20"/>
          <w:lang w:eastAsia="zh-CN"/>
        </w:rPr>
        <w:t xml:space="preserve">ccording to </w:t>
      </w:r>
      <w:r>
        <w:rPr>
          <w:rFonts w:hint="default" w:eastAsia="宋体"/>
          <w:kern w:val="0"/>
          <w:sz w:val="20"/>
          <w:szCs w:val="20"/>
          <w:lang w:val="en-US" w:eastAsia="zh-CN"/>
        </w:rPr>
        <w:t>agreement in RAN2#106</w:t>
      </w:r>
      <w:r>
        <w:rPr>
          <w:rFonts w:eastAsia="宋体"/>
          <w:kern w:val="0"/>
          <w:sz w:val="20"/>
          <w:szCs w:val="20"/>
          <w:lang w:eastAsia="zh-CN"/>
        </w:rPr>
        <w:t xml:space="preserve">, the 'dormancy' behavior implies that the UE stops monitoring PDCCH but continues other activities such as CSI measurements, AGC and beam management. If ‘dormancy’ behavior is introduced in NR, the delay of </w:t>
      </w:r>
      <w:r>
        <w:rPr>
          <w:rFonts w:eastAsia="宋体"/>
          <w:kern w:val="0"/>
          <w:sz w:val="20"/>
          <w:szCs w:val="20"/>
          <w:lang w:val="en-GB" w:eastAsia="zh-CN"/>
        </w:rPr>
        <w:t>T</w:t>
      </w:r>
      <w:r>
        <w:rPr>
          <w:rFonts w:eastAsia="宋体"/>
          <w:kern w:val="0"/>
          <w:sz w:val="20"/>
          <w:szCs w:val="20"/>
          <w:vertAlign w:val="subscript"/>
          <w:lang w:val="en-GB" w:eastAsia="zh-CN"/>
        </w:rPr>
        <w:t>activation_time</w:t>
      </w:r>
      <w:r>
        <w:rPr>
          <w:rFonts w:eastAsia="宋体"/>
          <w:kern w:val="0"/>
          <w:sz w:val="20"/>
          <w:szCs w:val="20"/>
          <w:lang w:val="en-GB" w:eastAsia="zh-CN"/>
        </w:rPr>
        <w:t xml:space="preserve"> and T</w:t>
      </w:r>
      <w:r>
        <w:rPr>
          <w:rFonts w:eastAsia="宋体"/>
          <w:kern w:val="0"/>
          <w:sz w:val="20"/>
          <w:szCs w:val="20"/>
          <w:vertAlign w:val="subscript"/>
          <w:lang w:val="en-GB" w:eastAsia="zh-CN"/>
        </w:rPr>
        <w:t>CSI_Reporting</w:t>
      </w:r>
      <w:r>
        <w:rPr>
          <w:rFonts w:eastAsia="宋体"/>
          <w:kern w:val="0"/>
          <w:sz w:val="20"/>
          <w:szCs w:val="20"/>
          <w:lang w:eastAsia="zh-CN"/>
        </w:rPr>
        <w:t xml:space="preserve"> can be eliminated since UE continues CSI measurements, ACG and beam management during for the SCell in ‘dormant state’. Instead, an additional BWP switching delay be introduced for SCell to switch from ‘dormant state’ to ‘active state’. From convenience, we denote this BWP switching delay as T</w:t>
      </w:r>
      <w:r>
        <w:rPr>
          <w:rFonts w:eastAsia="宋体"/>
          <w:kern w:val="0"/>
          <w:sz w:val="20"/>
          <w:szCs w:val="20"/>
          <w:vertAlign w:val="subscript"/>
          <w:lang w:eastAsia="zh-CN"/>
        </w:rPr>
        <w:t>BWP</w:t>
      </w:r>
      <w:r>
        <w:rPr>
          <w:rFonts w:eastAsia="宋体"/>
          <w:kern w:val="0"/>
          <w:sz w:val="20"/>
          <w:szCs w:val="20"/>
          <w:lang w:eastAsia="zh-CN"/>
        </w:rPr>
        <w:t>. As specified in TS38.133</w:t>
      </w:r>
      <w:r>
        <w:rPr>
          <w:rFonts w:hint="default" w:eastAsia="宋体"/>
          <w:kern w:val="0"/>
          <w:sz w:val="20"/>
          <w:szCs w:val="20"/>
          <w:lang w:val="en-US" w:eastAsia="zh-CN"/>
        </w:rPr>
        <w:t>[2]</w:t>
      </w:r>
      <w:r>
        <w:rPr>
          <w:rFonts w:eastAsia="宋体"/>
          <w:kern w:val="0"/>
          <w:sz w:val="20"/>
          <w:szCs w:val="20"/>
          <w:lang w:eastAsia="zh-CN"/>
        </w:rPr>
        <w:t xml:space="preserve">, the BWP switching delay varies from 0.75ms to 3ms depending on UE capability and numerology. </w:t>
      </w:r>
    </w:p>
    <w:p>
      <w:pPr>
        <w:keepNext/>
        <w:keepLines/>
        <w:widowControl w:val="0"/>
        <w:overflowPunct/>
        <w:autoSpaceDE/>
        <w:autoSpaceDN/>
        <w:adjustRightInd/>
        <w:spacing w:before="60" w:after="180" w:line="240" w:lineRule="auto"/>
        <w:jc w:val="center"/>
        <w:textAlignment w:val="auto"/>
        <w:rPr>
          <w:rFonts w:eastAsia="宋体"/>
          <w:bCs/>
          <w:kern w:val="0"/>
          <w:sz w:val="21"/>
          <w:szCs w:val="24"/>
          <w:lang w:eastAsia="zh-CN"/>
        </w:rPr>
      </w:pPr>
      <w:r>
        <w:rPr>
          <w:rFonts w:eastAsia="宋体"/>
          <w:bCs/>
          <w:kern w:val="0"/>
          <w:sz w:val="21"/>
          <w:szCs w:val="24"/>
          <w:lang w:eastAsia="zh-CN"/>
        </w:rPr>
        <w:t>Table 8.6.2-1: BWP switch delay</w:t>
      </w:r>
    </w:p>
    <w:tbl>
      <w:tblPr>
        <w:tblStyle w:val="282"/>
        <w:tblW w:w="55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jc w:val="center"/>
        </w:trPr>
        <w:tc>
          <w:tcPr>
            <w:tcW w:w="649"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overflowPunct/>
              <w:autoSpaceDE/>
              <w:autoSpaceDN/>
              <w:adjustRightInd/>
              <w:spacing w:after="0" w:line="240" w:lineRule="auto"/>
              <w:jc w:val="center"/>
              <w:textAlignment w:val="auto"/>
              <w:rPr>
                <w:rFonts w:ascii="Arial" w:hAnsi="Arial" w:eastAsia="宋体"/>
                <w:b/>
                <w:bCs/>
                <w:kern w:val="0"/>
                <w:sz w:val="18"/>
                <w:szCs w:val="18"/>
                <w:lang w:eastAsia="zh-CN"/>
              </w:rPr>
            </w:pPr>
            <w:r>
              <w:rPr>
                <w:rFonts w:ascii="Arial" w:hAnsi="Arial" w:eastAsia="宋体"/>
                <w:b/>
                <w:bCs/>
                <w:kern w:val="0"/>
                <w:sz w:val="18"/>
                <w:szCs w:val="18"/>
                <w:lang w:eastAsia="zh-CN"/>
              </w:rPr>
              <w:drawing>
                <wp:inline distT="0" distB="0" distL="0" distR="0">
                  <wp:extent cx="140335" cy="162560"/>
                  <wp:effectExtent l="0" t="0" r="12065" b="7620"/>
                  <wp:docPr id="1" name="Picture 1" descr="C:\Users\10240317\AppData\Local\Temp\ksohtml\wps864F.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10240317\AppData\Local\Temp\ksohtml\wps864F.tmp.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40335" cy="162560"/>
                          </a:xfrm>
                          <a:prstGeom prst="rect">
                            <a:avLst/>
                          </a:prstGeom>
                          <a:noFill/>
                          <a:ln>
                            <a:noFill/>
                          </a:ln>
                        </pic:spPr>
                      </pic:pic>
                    </a:graphicData>
                  </a:graphic>
                </wp:inline>
              </w:drawing>
            </w:r>
          </w:p>
        </w:tc>
        <w:tc>
          <w:tcPr>
            <w:tcW w:w="992" w:type="dxa"/>
            <w:vMerge w:val="restart"/>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line="240" w:lineRule="auto"/>
              <w:jc w:val="center"/>
              <w:textAlignment w:val="auto"/>
              <w:rPr>
                <w:rFonts w:ascii="Arial" w:hAnsi="Arial" w:eastAsia="宋体"/>
                <w:b/>
                <w:bCs/>
                <w:kern w:val="0"/>
                <w:sz w:val="18"/>
                <w:szCs w:val="18"/>
                <w:lang w:eastAsia="zh-CN"/>
              </w:rPr>
            </w:pPr>
            <w:r>
              <w:rPr>
                <w:rFonts w:ascii="Arial" w:hAnsi="Arial" w:eastAsia="宋体"/>
                <w:b/>
                <w:bCs/>
                <w:kern w:val="0"/>
                <w:sz w:val="18"/>
                <w:szCs w:val="18"/>
                <w:lang w:eastAsia="zh-CN"/>
              </w:rPr>
              <w:t>NR Slot length (ms)</w:t>
            </w:r>
          </w:p>
        </w:tc>
        <w:tc>
          <w:tcPr>
            <w:tcW w:w="3938" w:type="dxa"/>
            <w:gridSpan w:val="2"/>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line="240" w:lineRule="auto"/>
              <w:jc w:val="center"/>
              <w:textAlignment w:val="auto"/>
              <w:rPr>
                <w:rFonts w:ascii="Arial" w:hAnsi="Arial" w:eastAsia="宋体"/>
                <w:b/>
                <w:bCs/>
                <w:kern w:val="0"/>
                <w:sz w:val="18"/>
                <w:szCs w:val="18"/>
                <w:lang w:eastAsia="zh-CN"/>
              </w:rPr>
            </w:pPr>
            <w:r>
              <w:rPr>
                <w:rFonts w:ascii="Arial" w:hAnsi="Arial" w:eastAsia="宋体"/>
                <w:b/>
                <w:bCs/>
                <w:kern w:val="0"/>
                <w:sz w:val="18"/>
                <w:szCs w:val="18"/>
                <w:lang w:eastAsia="zh-CN"/>
              </w:rPr>
              <w:t>BWP switch delay T</w:t>
            </w:r>
            <w:r>
              <w:rPr>
                <w:rFonts w:ascii="Arial" w:hAnsi="Arial" w:eastAsia="宋体"/>
                <w:b/>
                <w:bCs/>
                <w:kern w:val="0"/>
                <w:sz w:val="18"/>
                <w:szCs w:val="18"/>
                <w:vertAlign w:val="subscript"/>
                <w:lang w:eastAsia="zh-CN"/>
              </w:rPr>
              <w:t>BWPswitchDelay</w:t>
            </w:r>
            <w:r>
              <w:rPr>
                <w:rFonts w:ascii="Arial" w:hAnsi="Arial" w:eastAsia="宋体"/>
                <w:b/>
                <w:bCs/>
                <w:kern w:val="0"/>
                <w:sz w:val="18"/>
                <w:szCs w:val="18"/>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 w:hRule="atLeast"/>
          <w:jc w:val="center"/>
        </w:trPr>
        <w:tc>
          <w:tcPr>
            <w:tcW w:w="649" w:type="dxa"/>
            <w:vMerge w:val="continue"/>
            <w:tcBorders>
              <w:top w:val="single" w:color="auto" w:sz="4" w:space="0"/>
              <w:left w:val="single" w:color="auto" w:sz="4" w:space="0"/>
              <w:bottom w:val="single" w:color="auto" w:sz="4" w:space="0"/>
              <w:right w:val="single" w:color="auto" w:sz="4" w:space="0"/>
            </w:tcBorders>
            <w:vAlign w:val="center"/>
          </w:tcPr>
          <w:p>
            <w:pPr>
              <w:widowControl/>
              <w:overflowPunct/>
              <w:autoSpaceDE/>
              <w:autoSpaceDN/>
              <w:adjustRightInd/>
              <w:spacing w:after="0" w:line="240" w:lineRule="auto"/>
              <w:jc w:val="left"/>
              <w:textAlignment w:val="auto"/>
              <w:rPr>
                <w:rFonts w:ascii="Arial" w:hAnsi="Arial" w:eastAsia="宋体"/>
                <w:b/>
                <w:bCs/>
                <w:kern w:val="0"/>
                <w:sz w:val="18"/>
                <w:szCs w:val="18"/>
                <w:lang w:eastAsia="zh-CN"/>
              </w:rPr>
            </w:pPr>
          </w:p>
        </w:tc>
        <w:tc>
          <w:tcPr>
            <w:tcW w:w="992" w:type="dxa"/>
            <w:vMerge w:val="continue"/>
            <w:tcBorders>
              <w:top w:val="single" w:color="auto" w:sz="4" w:space="0"/>
              <w:left w:val="nil"/>
              <w:bottom w:val="single" w:color="auto" w:sz="4" w:space="0"/>
              <w:right w:val="single" w:color="auto" w:sz="4" w:space="0"/>
            </w:tcBorders>
            <w:vAlign w:val="center"/>
          </w:tcPr>
          <w:p>
            <w:pPr>
              <w:widowControl/>
              <w:overflowPunct/>
              <w:autoSpaceDE/>
              <w:autoSpaceDN/>
              <w:adjustRightInd/>
              <w:spacing w:after="0" w:line="240" w:lineRule="auto"/>
              <w:jc w:val="left"/>
              <w:textAlignment w:val="auto"/>
              <w:rPr>
                <w:rFonts w:ascii="Arial" w:hAnsi="Arial" w:eastAsia="宋体"/>
                <w:b/>
                <w:bCs/>
                <w:kern w:val="0"/>
                <w:sz w:val="18"/>
                <w:szCs w:val="18"/>
                <w:lang w:eastAsia="zh-CN"/>
              </w:rPr>
            </w:pP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line="240" w:lineRule="auto"/>
              <w:jc w:val="center"/>
              <w:textAlignment w:val="auto"/>
              <w:rPr>
                <w:rFonts w:ascii="Arial" w:hAnsi="Arial" w:eastAsia="宋体"/>
                <w:b/>
                <w:bCs/>
                <w:kern w:val="0"/>
                <w:sz w:val="18"/>
                <w:szCs w:val="18"/>
                <w:vertAlign w:val="superscript"/>
                <w:lang w:eastAsia="zh-CN"/>
              </w:rPr>
            </w:pPr>
            <w:r>
              <w:rPr>
                <w:rFonts w:ascii="Arial" w:hAnsi="Arial" w:eastAsia="宋体"/>
                <w:b/>
                <w:bCs/>
                <w:kern w:val="0"/>
                <w:sz w:val="18"/>
                <w:szCs w:val="18"/>
                <w:lang w:eastAsia="zh-CN"/>
              </w:rPr>
              <w:t>Type 1</w:t>
            </w:r>
            <w:r>
              <w:rPr>
                <w:rFonts w:ascii="Arial" w:hAnsi="Arial" w:eastAsia="宋体"/>
                <w:b/>
                <w:bCs/>
                <w:kern w:val="0"/>
                <w:sz w:val="18"/>
                <w:szCs w:val="18"/>
                <w:vertAlign w:val="superscript"/>
                <w:lang w:eastAsia="zh-CN"/>
              </w:rPr>
              <w:t>Note 1</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line="240" w:lineRule="auto"/>
              <w:jc w:val="center"/>
              <w:textAlignment w:val="auto"/>
              <w:rPr>
                <w:rFonts w:ascii="Arial" w:hAnsi="Arial" w:eastAsia="宋体"/>
                <w:b/>
                <w:bCs/>
                <w:kern w:val="0"/>
                <w:sz w:val="18"/>
                <w:szCs w:val="18"/>
                <w:vertAlign w:val="superscript"/>
                <w:lang w:eastAsia="zh-CN"/>
              </w:rPr>
            </w:pPr>
            <w:r>
              <w:rPr>
                <w:rFonts w:ascii="Arial" w:hAnsi="Arial" w:eastAsia="宋体"/>
                <w:b/>
                <w:bCs/>
                <w:kern w:val="0"/>
                <w:sz w:val="18"/>
                <w:szCs w:val="18"/>
                <w:lang w:eastAsia="zh-CN"/>
              </w:rPr>
              <w:t>Type 2</w:t>
            </w:r>
            <w:r>
              <w:rPr>
                <w:rFonts w:ascii="Arial" w:hAnsi="Arial" w:eastAsia="宋体"/>
                <w:b/>
                <w:bCs/>
                <w:kern w:val="0"/>
                <w:sz w:val="18"/>
                <w:szCs w:val="18"/>
                <w:vertAlign w:val="superscript"/>
                <w:lang w:eastAsia="zh-CN"/>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keepNext/>
              <w:keepLines/>
              <w:widowControl w:val="0"/>
              <w:overflowPunct/>
              <w:autoSpaceDE/>
              <w:autoSpaceDN/>
              <w:adjustRightInd/>
              <w:spacing w:after="0" w:line="240" w:lineRule="auto"/>
              <w:jc w:val="center"/>
              <w:textAlignment w:val="auto"/>
              <w:rPr>
                <w:rFonts w:ascii="Arial" w:hAnsi="Arial" w:eastAsia="宋体"/>
                <w:kern w:val="0"/>
                <w:sz w:val="18"/>
                <w:szCs w:val="18"/>
                <w:lang w:eastAsia="zh-CN"/>
              </w:rPr>
            </w:pPr>
            <w:r>
              <w:rPr>
                <w:rFonts w:ascii="Arial" w:hAnsi="Arial" w:eastAsia="宋体"/>
                <w:kern w:val="0"/>
                <w:sz w:val="18"/>
                <w:szCs w:val="18"/>
                <w:lang w:eastAsia="zh-CN"/>
              </w:rPr>
              <w:t>0</w:t>
            </w:r>
          </w:p>
        </w:tc>
        <w:tc>
          <w:tcPr>
            <w:tcW w:w="992"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line="240" w:lineRule="auto"/>
              <w:jc w:val="center"/>
              <w:textAlignment w:val="auto"/>
              <w:rPr>
                <w:rFonts w:ascii="Arial" w:hAnsi="Arial" w:eastAsia="宋体"/>
                <w:kern w:val="0"/>
                <w:sz w:val="18"/>
                <w:szCs w:val="18"/>
                <w:lang w:eastAsia="zh-CN"/>
              </w:rPr>
            </w:pPr>
            <w:r>
              <w:rPr>
                <w:rFonts w:ascii="Arial" w:hAnsi="Arial" w:eastAsia="宋体"/>
                <w:kern w:val="0"/>
                <w:sz w:val="18"/>
                <w:szCs w:val="18"/>
                <w:lang w:eastAsia="zh-CN"/>
              </w:rPr>
              <w:t>1</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line="240" w:lineRule="auto"/>
              <w:jc w:val="center"/>
              <w:textAlignment w:val="auto"/>
              <w:rPr>
                <w:rFonts w:ascii="Arial" w:hAnsi="Arial" w:eastAsia="宋体"/>
                <w:kern w:val="0"/>
                <w:sz w:val="18"/>
                <w:szCs w:val="18"/>
                <w:lang w:eastAsia="zh-CN"/>
              </w:rPr>
            </w:pPr>
            <w:r>
              <w:rPr>
                <w:rFonts w:ascii="Arial" w:hAnsi="Arial" w:eastAsia="宋体"/>
                <w:kern w:val="0"/>
                <w:sz w:val="18"/>
                <w:szCs w:val="18"/>
                <w:lang w:eastAsia="zh-CN"/>
              </w:rPr>
              <w:t>1</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line="240" w:lineRule="auto"/>
              <w:jc w:val="center"/>
              <w:textAlignment w:val="auto"/>
              <w:rPr>
                <w:rFonts w:ascii="Arial" w:hAnsi="Arial" w:eastAsia="宋体"/>
                <w:kern w:val="0"/>
                <w:sz w:val="18"/>
                <w:szCs w:val="18"/>
                <w:lang w:eastAsia="zh-CN"/>
              </w:rPr>
            </w:pPr>
            <w:r>
              <w:rPr>
                <w:rFonts w:ascii="Arial" w:hAnsi="Arial" w:eastAsia="宋体"/>
                <w:kern w:val="0"/>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keepNext/>
              <w:keepLines/>
              <w:widowControl w:val="0"/>
              <w:overflowPunct/>
              <w:autoSpaceDE/>
              <w:autoSpaceDN/>
              <w:adjustRightInd/>
              <w:spacing w:after="0" w:line="240" w:lineRule="auto"/>
              <w:jc w:val="center"/>
              <w:textAlignment w:val="auto"/>
              <w:rPr>
                <w:rFonts w:ascii="Arial" w:hAnsi="Arial" w:eastAsia="宋体"/>
                <w:kern w:val="0"/>
                <w:sz w:val="18"/>
                <w:szCs w:val="18"/>
                <w:lang w:eastAsia="zh-CN"/>
              </w:rPr>
            </w:pPr>
            <w:r>
              <w:rPr>
                <w:rFonts w:ascii="Arial" w:hAnsi="Arial" w:eastAsia="宋体"/>
                <w:kern w:val="0"/>
                <w:sz w:val="18"/>
                <w:szCs w:val="18"/>
                <w:lang w:eastAsia="zh-CN"/>
              </w:rPr>
              <w:t>1</w:t>
            </w:r>
          </w:p>
        </w:tc>
        <w:tc>
          <w:tcPr>
            <w:tcW w:w="992"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line="240" w:lineRule="auto"/>
              <w:jc w:val="center"/>
              <w:textAlignment w:val="auto"/>
              <w:rPr>
                <w:rFonts w:ascii="Arial" w:hAnsi="Arial" w:eastAsia="宋体"/>
                <w:kern w:val="0"/>
                <w:sz w:val="18"/>
                <w:szCs w:val="18"/>
                <w:lang w:eastAsia="zh-CN"/>
              </w:rPr>
            </w:pPr>
            <w:r>
              <w:rPr>
                <w:rFonts w:ascii="Arial" w:hAnsi="Arial" w:eastAsia="宋体"/>
                <w:kern w:val="0"/>
                <w:sz w:val="18"/>
                <w:szCs w:val="18"/>
                <w:lang w:eastAsia="zh-CN"/>
              </w:rPr>
              <w:t>0.5</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line="240" w:lineRule="auto"/>
              <w:jc w:val="center"/>
              <w:textAlignment w:val="auto"/>
              <w:rPr>
                <w:rFonts w:ascii="Arial" w:hAnsi="Arial" w:eastAsia="宋体"/>
                <w:kern w:val="0"/>
                <w:sz w:val="18"/>
                <w:szCs w:val="18"/>
                <w:lang w:eastAsia="zh-CN"/>
              </w:rPr>
            </w:pPr>
            <w:r>
              <w:rPr>
                <w:rFonts w:ascii="Arial" w:hAnsi="Arial" w:eastAsia="宋体"/>
                <w:kern w:val="0"/>
                <w:sz w:val="18"/>
                <w:szCs w:val="18"/>
                <w:lang w:eastAsia="zh-CN"/>
              </w:rPr>
              <w:t>2</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line="240" w:lineRule="auto"/>
              <w:jc w:val="center"/>
              <w:textAlignment w:val="auto"/>
              <w:rPr>
                <w:rFonts w:ascii="Arial" w:hAnsi="Arial" w:eastAsia="宋体"/>
                <w:kern w:val="0"/>
                <w:sz w:val="18"/>
                <w:szCs w:val="18"/>
                <w:lang w:eastAsia="zh-CN"/>
              </w:rPr>
            </w:pPr>
            <w:r>
              <w:rPr>
                <w:rFonts w:ascii="Arial" w:hAnsi="Arial" w:eastAsia="宋体"/>
                <w:kern w:val="0"/>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keepNext/>
              <w:keepLines/>
              <w:widowControl w:val="0"/>
              <w:overflowPunct/>
              <w:autoSpaceDE/>
              <w:autoSpaceDN/>
              <w:adjustRightInd/>
              <w:spacing w:after="0" w:line="240" w:lineRule="auto"/>
              <w:jc w:val="center"/>
              <w:textAlignment w:val="auto"/>
              <w:rPr>
                <w:rFonts w:ascii="Arial" w:hAnsi="Arial" w:eastAsia="宋体"/>
                <w:kern w:val="0"/>
                <w:sz w:val="18"/>
                <w:szCs w:val="18"/>
                <w:lang w:eastAsia="zh-CN"/>
              </w:rPr>
            </w:pPr>
            <w:r>
              <w:rPr>
                <w:rFonts w:ascii="Arial" w:hAnsi="Arial" w:eastAsia="宋体"/>
                <w:kern w:val="0"/>
                <w:sz w:val="18"/>
                <w:szCs w:val="18"/>
                <w:lang w:eastAsia="zh-CN"/>
              </w:rPr>
              <w:t>2</w:t>
            </w:r>
          </w:p>
        </w:tc>
        <w:tc>
          <w:tcPr>
            <w:tcW w:w="992"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line="240" w:lineRule="auto"/>
              <w:jc w:val="center"/>
              <w:textAlignment w:val="auto"/>
              <w:rPr>
                <w:rFonts w:ascii="Arial" w:hAnsi="Arial" w:eastAsia="宋体"/>
                <w:kern w:val="0"/>
                <w:sz w:val="18"/>
                <w:szCs w:val="18"/>
                <w:lang w:eastAsia="zh-CN"/>
              </w:rPr>
            </w:pPr>
            <w:r>
              <w:rPr>
                <w:rFonts w:ascii="Arial" w:hAnsi="Arial" w:eastAsia="宋体"/>
                <w:kern w:val="0"/>
                <w:sz w:val="18"/>
                <w:szCs w:val="18"/>
                <w:lang w:eastAsia="zh-CN"/>
              </w:rPr>
              <w:t>0.25</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line="240" w:lineRule="auto"/>
              <w:jc w:val="center"/>
              <w:textAlignment w:val="auto"/>
              <w:rPr>
                <w:rFonts w:ascii="Arial" w:hAnsi="Arial" w:eastAsia="宋体"/>
                <w:kern w:val="0"/>
                <w:sz w:val="18"/>
                <w:szCs w:val="18"/>
                <w:lang w:eastAsia="zh-CN"/>
              </w:rPr>
            </w:pPr>
            <w:r>
              <w:rPr>
                <w:rFonts w:ascii="Arial" w:hAnsi="Arial" w:eastAsia="宋体"/>
                <w:kern w:val="0"/>
                <w:sz w:val="18"/>
                <w:szCs w:val="18"/>
                <w:lang w:eastAsia="zh-CN"/>
              </w:rPr>
              <w:t>3</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line="240" w:lineRule="auto"/>
              <w:jc w:val="center"/>
              <w:textAlignment w:val="auto"/>
              <w:rPr>
                <w:rFonts w:ascii="Arial" w:hAnsi="Arial" w:eastAsia="宋体"/>
                <w:kern w:val="0"/>
                <w:sz w:val="18"/>
                <w:szCs w:val="18"/>
                <w:lang w:eastAsia="zh-CN"/>
              </w:rPr>
            </w:pPr>
            <w:r>
              <w:rPr>
                <w:rFonts w:ascii="Arial" w:hAnsi="Arial" w:eastAsia="宋体"/>
                <w:kern w:val="0"/>
                <w:sz w:val="18"/>
                <w:szCs w:val="18"/>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keepNext/>
              <w:keepLines/>
              <w:widowControl w:val="0"/>
              <w:overflowPunct/>
              <w:autoSpaceDE/>
              <w:autoSpaceDN/>
              <w:adjustRightInd/>
              <w:spacing w:after="0" w:line="240" w:lineRule="auto"/>
              <w:jc w:val="center"/>
              <w:textAlignment w:val="auto"/>
              <w:rPr>
                <w:rFonts w:ascii="Arial" w:hAnsi="Arial" w:eastAsia="宋体"/>
                <w:kern w:val="0"/>
                <w:sz w:val="18"/>
                <w:szCs w:val="18"/>
                <w:lang w:eastAsia="zh-CN"/>
              </w:rPr>
            </w:pPr>
            <w:r>
              <w:rPr>
                <w:rFonts w:ascii="Arial" w:hAnsi="Arial" w:eastAsia="宋体"/>
                <w:kern w:val="0"/>
                <w:sz w:val="18"/>
                <w:szCs w:val="18"/>
                <w:lang w:eastAsia="zh-CN"/>
              </w:rPr>
              <w:t>3</w:t>
            </w:r>
          </w:p>
        </w:tc>
        <w:tc>
          <w:tcPr>
            <w:tcW w:w="992"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line="240" w:lineRule="auto"/>
              <w:jc w:val="center"/>
              <w:textAlignment w:val="auto"/>
              <w:rPr>
                <w:rFonts w:ascii="Arial" w:hAnsi="Arial" w:eastAsia="宋体"/>
                <w:kern w:val="0"/>
                <w:sz w:val="18"/>
                <w:szCs w:val="18"/>
                <w:lang w:eastAsia="zh-CN"/>
              </w:rPr>
            </w:pPr>
            <w:r>
              <w:rPr>
                <w:rFonts w:ascii="Arial" w:hAnsi="Arial" w:eastAsia="宋体"/>
                <w:kern w:val="0"/>
                <w:sz w:val="18"/>
                <w:szCs w:val="18"/>
                <w:lang w:eastAsia="zh-CN"/>
              </w:rPr>
              <w:t>0.125</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line="240" w:lineRule="auto"/>
              <w:jc w:val="center"/>
              <w:textAlignment w:val="auto"/>
              <w:rPr>
                <w:rFonts w:ascii="Arial" w:hAnsi="Arial" w:eastAsia="宋体"/>
                <w:kern w:val="0"/>
                <w:sz w:val="18"/>
                <w:szCs w:val="18"/>
                <w:lang w:eastAsia="zh-CN"/>
              </w:rPr>
            </w:pPr>
            <w:r>
              <w:rPr>
                <w:rFonts w:ascii="Arial" w:hAnsi="Arial" w:eastAsia="宋体"/>
                <w:kern w:val="0"/>
                <w:sz w:val="18"/>
                <w:szCs w:val="18"/>
                <w:lang w:eastAsia="zh-CN"/>
              </w:rPr>
              <w:t>6</w:t>
            </w:r>
          </w:p>
        </w:tc>
        <w:tc>
          <w:tcPr>
            <w:tcW w:w="1969" w:type="dxa"/>
            <w:tcBorders>
              <w:top w:val="single" w:color="auto" w:sz="4" w:space="0"/>
              <w:left w:val="nil"/>
              <w:bottom w:val="single" w:color="auto" w:sz="4" w:space="0"/>
              <w:right w:val="single" w:color="auto" w:sz="4" w:space="0"/>
            </w:tcBorders>
          </w:tcPr>
          <w:p>
            <w:pPr>
              <w:keepNext/>
              <w:keepLines/>
              <w:widowControl w:val="0"/>
              <w:overflowPunct/>
              <w:autoSpaceDE/>
              <w:autoSpaceDN/>
              <w:adjustRightInd/>
              <w:spacing w:after="0" w:line="240" w:lineRule="auto"/>
              <w:jc w:val="center"/>
              <w:textAlignment w:val="auto"/>
              <w:rPr>
                <w:rFonts w:ascii="Arial" w:hAnsi="Arial" w:eastAsia="宋体"/>
                <w:kern w:val="0"/>
                <w:sz w:val="18"/>
                <w:szCs w:val="18"/>
                <w:lang w:eastAsia="zh-CN"/>
              </w:rPr>
            </w:pPr>
            <w:r>
              <w:rPr>
                <w:rFonts w:ascii="Arial" w:hAnsi="Arial" w:eastAsia="宋体"/>
                <w:kern w:val="0"/>
                <w:sz w:val="18"/>
                <w:szCs w:val="18"/>
                <w:lang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79" w:type="dxa"/>
            <w:gridSpan w:val="4"/>
            <w:tcBorders>
              <w:top w:val="single" w:color="auto" w:sz="4" w:space="0"/>
              <w:left w:val="single" w:color="auto" w:sz="4" w:space="0"/>
              <w:bottom w:val="single" w:color="auto" w:sz="4" w:space="0"/>
              <w:right w:val="single" w:color="auto" w:sz="4" w:space="0"/>
            </w:tcBorders>
          </w:tcPr>
          <w:p>
            <w:pPr>
              <w:keepNext/>
              <w:keepLines/>
              <w:widowControl w:val="0"/>
              <w:overflowPunct/>
              <w:autoSpaceDE/>
              <w:autoSpaceDN/>
              <w:adjustRightInd/>
              <w:spacing w:after="0" w:line="240" w:lineRule="auto"/>
              <w:ind w:hanging="851"/>
              <w:jc w:val="left"/>
              <w:textAlignment w:val="auto"/>
              <w:rPr>
                <w:rFonts w:ascii="Arial" w:hAnsi="Arial" w:eastAsia="宋体"/>
                <w:kern w:val="0"/>
                <w:sz w:val="18"/>
                <w:szCs w:val="18"/>
                <w:lang w:eastAsia="zh-CN"/>
              </w:rPr>
            </w:pPr>
            <w:r>
              <w:rPr>
                <w:rFonts w:ascii="Arial" w:hAnsi="Arial" w:eastAsia="宋体"/>
                <w:kern w:val="0"/>
                <w:sz w:val="18"/>
                <w:szCs w:val="18"/>
                <w:lang w:eastAsia="zh-CN"/>
              </w:rPr>
              <w:t>Note 1:</w:t>
            </w:r>
            <w:r>
              <w:rPr>
                <w:rFonts w:ascii="Arial" w:hAnsi="Arial" w:eastAsia="宋体"/>
                <w:kern w:val="0"/>
                <w:sz w:val="18"/>
                <w:szCs w:val="18"/>
                <w:lang w:eastAsia="zh-CN"/>
              </w:rPr>
              <w:tab/>
            </w:r>
            <w:r>
              <w:rPr>
                <w:rFonts w:ascii="Arial" w:hAnsi="Arial" w:eastAsia="宋体"/>
                <w:kern w:val="0"/>
                <w:sz w:val="18"/>
                <w:szCs w:val="18"/>
                <w:lang w:eastAsia="zh-CN"/>
              </w:rPr>
              <w:t>Depends on UE capability.</w:t>
            </w:r>
          </w:p>
          <w:p>
            <w:pPr>
              <w:keepNext/>
              <w:keepLines/>
              <w:widowControl w:val="0"/>
              <w:overflowPunct/>
              <w:autoSpaceDE/>
              <w:autoSpaceDN/>
              <w:adjustRightInd/>
              <w:spacing w:after="0" w:line="240" w:lineRule="auto"/>
              <w:ind w:hanging="851"/>
              <w:jc w:val="left"/>
              <w:textAlignment w:val="auto"/>
              <w:rPr>
                <w:rFonts w:ascii="Arial" w:hAnsi="Arial" w:eastAsia="宋体"/>
                <w:kern w:val="0"/>
                <w:sz w:val="18"/>
                <w:szCs w:val="18"/>
                <w:lang w:eastAsia="zh-CN"/>
              </w:rPr>
            </w:pPr>
            <w:r>
              <w:rPr>
                <w:rFonts w:ascii="Arial" w:hAnsi="Arial" w:eastAsia="宋体"/>
                <w:kern w:val="0"/>
                <w:sz w:val="18"/>
                <w:szCs w:val="18"/>
                <w:lang w:eastAsia="zh-CN"/>
              </w:rPr>
              <w:t>Note 2:</w:t>
            </w:r>
            <w:r>
              <w:rPr>
                <w:rFonts w:ascii="Arial" w:hAnsi="Arial" w:eastAsia="宋体"/>
                <w:kern w:val="0"/>
                <w:sz w:val="18"/>
                <w:szCs w:val="18"/>
                <w:lang w:eastAsia="zh-CN"/>
              </w:rPr>
              <w:tab/>
            </w:r>
            <w:r>
              <w:rPr>
                <w:rFonts w:ascii="Arial" w:hAnsi="Arial" w:eastAsia="宋体"/>
                <w:kern w:val="0"/>
                <w:sz w:val="18"/>
                <w:szCs w:val="18"/>
                <w:lang w:eastAsia="zh-CN"/>
              </w:rPr>
              <w:t>If the BWP switch involves changing of SCS, the BWP switch delay is determined by the larger one between the SCS before BWP switch and the SCS after BWP switch.</w:t>
            </w:r>
          </w:p>
        </w:tc>
      </w:tr>
    </w:tbl>
    <w:p>
      <w:pPr>
        <w:widowControl/>
        <w:overflowPunct w:val="0"/>
        <w:autoSpaceDE w:val="0"/>
        <w:autoSpaceDN w:val="0"/>
        <w:adjustRightInd w:val="0"/>
        <w:spacing w:after="180" w:line="240" w:lineRule="auto"/>
        <w:textAlignment w:val="baseline"/>
        <w:rPr>
          <w:rFonts w:eastAsia="宋体"/>
          <w:kern w:val="0"/>
          <w:sz w:val="20"/>
          <w:szCs w:val="20"/>
          <w:lang w:eastAsia="zh-CN"/>
        </w:rPr>
      </w:pPr>
    </w:p>
    <w:p>
      <w:pPr>
        <w:widowControl/>
        <w:overflowPunct w:val="0"/>
        <w:autoSpaceDE w:val="0"/>
        <w:autoSpaceDN w:val="0"/>
        <w:adjustRightInd w:val="0"/>
        <w:spacing w:after="180" w:line="240" w:lineRule="auto"/>
        <w:textAlignment w:val="baseline"/>
        <w:rPr>
          <w:rFonts w:eastAsia="宋体"/>
          <w:kern w:val="0"/>
          <w:sz w:val="20"/>
          <w:szCs w:val="20"/>
          <w:lang w:eastAsia="zh-CN"/>
        </w:rPr>
      </w:pPr>
      <w:r>
        <w:rPr>
          <w:rFonts w:eastAsia="宋体"/>
          <w:kern w:val="0"/>
          <w:sz w:val="20"/>
          <w:szCs w:val="20"/>
          <w:lang w:eastAsia="zh-CN"/>
        </w:rPr>
        <w:t xml:space="preserve">In Rel-15, the MAC CE is adopted to convey SCell activation command. If ‘dormancy’ behavior is adopted in Rel-16, the DCI can also be considered to convey SCell activation command. For higher reliability, it is preferred to feedback ACK/NACK for the SCell activation command even if it is conveyed in DCI, which is similar to the SPS release DCI. In this sense, the </w:t>
      </w:r>
      <w:r>
        <w:rPr>
          <w:rFonts w:eastAsia="宋体"/>
          <w:kern w:val="0"/>
          <w:sz w:val="20"/>
          <w:szCs w:val="20"/>
          <w:lang w:val="en-GB" w:eastAsia="zh-CN"/>
        </w:rPr>
        <w:t>T</w:t>
      </w:r>
      <w:r>
        <w:rPr>
          <w:rFonts w:eastAsia="宋体"/>
          <w:kern w:val="0"/>
          <w:sz w:val="20"/>
          <w:szCs w:val="20"/>
          <w:vertAlign w:val="subscript"/>
          <w:lang w:val="en-GB" w:eastAsia="zh-CN"/>
        </w:rPr>
        <w:t>HARQ</w:t>
      </w:r>
      <w:r>
        <w:rPr>
          <w:rFonts w:eastAsia="宋体"/>
          <w:kern w:val="0"/>
          <w:sz w:val="20"/>
          <w:szCs w:val="20"/>
          <w:lang w:eastAsia="zh-CN"/>
        </w:rPr>
        <w:t xml:space="preserve"> should still be considered in the SCell activation delay. Typical values of </w:t>
      </w:r>
      <w:r>
        <w:rPr>
          <w:rFonts w:eastAsia="宋体"/>
          <w:kern w:val="0"/>
          <w:sz w:val="20"/>
          <w:szCs w:val="20"/>
          <w:lang w:val="en-GB" w:eastAsia="zh-CN"/>
        </w:rPr>
        <w:t>T</w:t>
      </w:r>
      <w:r>
        <w:rPr>
          <w:rFonts w:eastAsia="宋体"/>
          <w:kern w:val="0"/>
          <w:sz w:val="20"/>
          <w:szCs w:val="20"/>
          <w:vertAlign w:val="subscript"/>
          <w:lang w:val="en-GB" w:eastAsia="zh-CN"/>
        </w:rPr>
        <w:t>HARQ</w:t>
      </w:r>
      <w:r>
        <w:rPr>
          <w:rFonts w:eastAsia="宋体"/>
          <w:kern w:val="0"/>
          <w:sz w:val="20"/>
          <w:szCs w:val="20"/>
          <w:lang w:val="en-GB" w:eastAsia="zh-CN"/>
        </w:rPr>
        <w:t xml:space="preserve"> for FR1 are 1 or 2 slots, namely 1~ 2 ms.</w:t>
      </w:r>
    </w:p>
    <w:p>
      <w:pPr>
        <w:widowControl/>
        <w:overflowPunct w:val="0"/>
        <w:autoSpaceDE w:val="0"/>
        <w:autoSpaceDN w:val="0"/>
        <w:adjustRightInd w:val="0"/>
        <w:spacing w:after="180" w:line="240" w:lineRule="auto"/>
        <w:textAlignment w:val="baseline"/>
        <w:rPr>
          <w:rFonts w:eastAsia="宋体"/>
          <w:kern w:val="0"/>
          <w:sz w:val="20"/>
          <w:szCs w:val="20"/>
          <w:lang w:eastAsia="zh-CN"/>
        </w:rPr>
      </w:pPr>
      <w:r>
        <w:rPr>
          <w:rFonts w:eastAsia="宋体"/>
          <w:kern w:val="0"/>
          <w:sz w:val="20"/>
          <w:szCs w:val="20"/>
          <w:lang w:eastAsia="zh-CN"/>
        </w:rPr>
        <w:t>Overall, for ‘dormancy’ behavior, the SCell activation delay can be reduced to [</w:t>
      </w:r>
      <w:r>
        <w:rPr>
          <w:rFonts w:eastAsia="宋体"/>
          <w:kern w:val="0"/>
          <w:sz w:val="20"/>
          <w:szCs w:val="20"/>
          <w:lang w:val="en-GB" w:eastAsia="zh-CN"/>
        </w:rPr>
        <w:t>T</w:t>
      </w:r>
      <w:r>
        <w:rPr>
          <w:rFonts w:eastAsia="宋体"/>
          <w:kern w:val="0"/>
          <w:sz w:val="20"/>
          <w:szCs w:val="20"/>
          <w:vertAlign w:val="subscript"/>
          <w:lang w:val="en-GB" w:eastAsia="zh-CN"/>
        </w:rPr>
        <w:t>HARQ</w:t>
      </w:r>
      <w:r>
        <w:rPr>
          <w:rFonts w:eastAsia="宋体"/>
          <w:kern w:val="0"/>
          <w:sz w:val="20"/>
          <w:szCs w:val="20"/>
          <w:lang w:val="en-GB" w:eastAsia="zh-CN"/>
        </w:rPr>
        <w:t xml:space="preserve"> + </w:t>
      </w:r>
      <w:r>
        <w:rPr>
          <w:rFonts w:eastAsia="宋体"/>
          <w:kern w:val="0"/>
          <w:sz w:val="20"/>
          <w:szCs w:val="20"/>
          <w:lang w:eastAsia="zh-CN"/>
        </w:rPr>
        <w:t>T</w:t>
      </w:r>
      <w:r>
        <w:rPr>
          <w:rFonts w:eastAsia="宋体"/>
          <w:kern w:val="0"/>
          <w:sz w:val="20"/>
          <w:szCs w:val="20"/>
          <w:vertAlign w:val="subscript"/>
          <w:lang w:eastAsia="zh-CN"/>
        </w:rPr>
        <w:t>BWP</w:t>
      </w:r>
      <w:r>
        <w:rPr>
          <w:rFonts w:eastAsia="宋体"/>
          <w:kern w:val="0"/>
          <w:sz w:val="20"/>
          <w:szCs w:val="20"/>
          <w:lang w:eastAsia="zh-CN"/>
        </w:rPr>
        <w:t>]. With the help of ‘dormancy’ behavior, the SCell activation delay can be reduced to 3~4 ms for FR1.</w:t>
      </w:r>
    </w:p>
    <w:p>
      <w:pPr>
        <w:numPr>
          <w:ilvl w:val="0"/>
          <w:numId w:val="4"/>
        </w:numPr>
        <w:ind w:left="1485" w:hanging="1485"/>
        <w:rPr>
          <w:b/>
          <w:bCs/>
          <w:szCs w:val="21"/>
        </w:rPr>
      </w:pPr>
      <w:r>
        <w:rPr>
          <w:rFonts w:hint="default"/>
          <w:b/>
          <w:bCs/>
          <w:szCs w:val="21"/>
          <w:lang w:val="en-US"/>
        </w:rPr>
        <w:t>With L1 signaling to switch from dormancy to activated, the SCell activation delay can be reduced to 3~4 ms for FR1</w:t>
      </w:r>
      <w:r>
        <w:rPr>
          <w:b/>
          <w:bCs/>
          <w:szCs w:val="21"/>
        </w:rPr>
        <w:t>.</w:t>
      </w:r>
    </w:p>
    <w:p>
      <w:pPr>
        <w:widowControl/>
        <w:overflowPunct w:val="0"/>
        <w:autoSpaceDE w:val="0"/>
        <w:autoSpaceDN w:val="0"/>
        <w:adjustRightInd w:val="0"/>
        <w:spacing w:after="180" w:line="240" w:lineRule="auto"/>
        <w:textAlignment w:val="baseline"/>
        <w:rPr>
          <w:rFonts w:hint="default" w:eastAsia="宋体"/>
          <w:kern w:val="0"/>
          <w:sz w:val="20"/>
          <w:szCs w:val="20"/>
          <w:lang w:val="en-US" w:eastAsia="zh-CN"/>
        </w:rPr>
      </w:pPr>
      <w:r>
        <w:rPr>
          <w:rFonts w:hint="default" w:eastAsia="宋体"/>
          <w:kern w:val="0"/>
          <w:sz w:val="20"/>
          <w:szCs w:val="20"/>
          <w:lang w:val="en-US" w:eastAsia="zh-CN"/>
        </w:rPr>
        <w:t>Per our understanding, there are several options to implement this dormancy behavior from RAN2 point of view:</w:t>
      </w:r>
    </w:p>
    <w:p>
      <w:pPr>
        <w:widowControl/>
        <w:overflowPunct w:val="0"/>
        <w:autoSpaceDE w:val="0"/>
        <w:autoSpaceDN w:val="0"/>
        <w:adjustRightInd w:val="0"/>
        <w:spacing w:after="180" w:line="240" w:lineRule="auto"/>
        <w:ind w:leftChars="100"/>
        <w:textAlignment w:val="baseline"/>
        <w:rPr>
          <w:rFonts w:hint="default" w:eastAsia="宋体"/>
          <w:kern w:val="0"/>
          <w:sz w:val="20"/>
          <w:szCs w:val="20"/>
          <w:lang w:val="en-US" w:eastAsia="zh-CN"/>
        </w:rPr>
      </w:pPr>
      <w:r>
        <w:rPr>
          <w:rFonts w:hint="default" w:eastAsia="宋体"/>
          <w:b/>
          <w:bCs/>
          <w:kern w:val="0"/>
          <w:sz w:val="20"/>
          <w:szCs w:val="20"/>
          <w:lang w:val="en-US" w:eastAsia="zh-CN"/>
        </w:rPr>
        <w:t>Option 1:</w:t>
      </w:r>
      <w:r>
        <w:rPr>
          <w:rFonts w:hint="default" w:eastAsia="宋体"/>
          <w:kern w:val="0"/>
          <w:sz w:val="20"/>
          <w:szCs w:val="20"/>
          <w:lang w:val="en-US" w:eastAsia="zh-CN"/>
        </w:rPr>
        <w:t xml:space="preserve"> Introduce a new dormant BWP. Whenever a SCell is transit to dormancy, BWP switching to this dormant BWP. This dormant BWP is configured via RRC message. </w:t>
      </w:r>
      <w:r>
        <w:rPr>
          <w:szCs w:val="21"/>
        </w:rPr>
        <w:t>Additional L1 signaling will be needed to enable cross-carrier BWP switching to switch from a dormant BWP to an active BWP</w:t>
      </w:r>
      <w:r>
        <w:rPr>
          <w:rFonts w:hint="default"/>
          <w:szCs w:val="21"/>
          <w:lang w:val="en-US"/>
        </w:rPr>
        <w:t>.</w:t>
      </w:r>
    </w:p>
    <w:p>
      <w:pPr>
        <w:widowControl/>
        <w:overflowPunct w:val="0"/>
        <w:autoSpaceDE w:val="0"/>
        <w:autoSpaceDN w:val="0"/>
        <w:adjustRightInd w:val="0"/>
        <w:spacing w:after="180" w:line="240" w:lineRule="auto"/>
        <w:ind w:leftChars="100"/>
        <w:textAlignment w:val="baseline"/>
        <w:rPr>
          <w:rFonts w:hint="default" w:eastAsia="宋体"/>
          <w:kern w:val="0"/>
          <w:sz w:val="20"/>
          <w:szCs w:val="20"/>
          <w:lang w:val="en-US" w:eastAsia="zh-CN"/>
        </w:rPr>
      </w:pPr>
      <w:r>
        <w:rPr>
          <w:rFonts w:hint="default" w:eastAsia="宋体"/>
          <w:b/>
          <w:bCs/>
          <w:kern w:val="0"/>
          <w:sz w:val="20"/>
          <w:szCs w:val="20"/>
          <w:lang w:val="en-US" w:eastAsia="zh-CN"/>
        </w:rPr>
        <w:t>Option 2:</w:t>
      </w:r>
      <w:r>
        <w:rPr>
          <w:rFonts w:hint="default" w:eastAsia="宋体"/>
          <w:kern w:val="0"/>
          <w:sz w:val="20"/>
          <w:szCs w:val="20"/>
          <w:lang w:val="en-US" w:eastAsia="zh-CN"/>
        </w:rPr>
        <w:t xml:space="preserve"> Dormancy behavior is only implemented on default BWP. There is no new additional BWP definition. A new BWP state is defined in addition to activated and deactivated. This is similar to dormant SCell state in LTE euCA.</w:t>
      </w:r>
    </w:p>
    <w:p>
      <w:pPr>
        <w:widowControl/>
        <w:overflowPunct w:val="0"/>
        <w:autoSpaceDE w:val="0"/>
        <w:autoSpaceDN w:val="0"/>
        <w:adjustRightInd w:val="0"/>
        <w:spacing w:after="180" w:line="240" w:lineRule="auto"/>
        <w:ind w:leftChars="100"/>
        <w:textAlignment w:val="baseline"/>
        <w:rPr>
          <w:rFonts w:hint="default" w:eastAsia="宋体"/>
          <w:kern w:val="0"/>
          <w:sz w:val="20"/>
          <w:szCs w:val="20"/>
          <w:lang w:val="en-US" w:eastAsia="zh-CN"/>
        </w:rPr>
      </w:pPr>
      <w:r>
        <w:rPr>
          <w:rFonts w:hint="default" w:eastAsia="宋体"/>
          <w:b/>
          <w:bCs/>
          <w:kern w:val="0"/>
          <w:sz w:val="20"/>
          <w:szCs w:val="20"/>
          <w:lang w:val="en-US" w:eastAsia="zh-CN"/>
        </w:rPr>
        <w:t xml:space="preserve">Option 3: </w:t>
      </w:r>
      <w:r>
        <w:rPr>
          <w:rFonts w:hint="default" w:eastAsia="宋体"/>
          <w:kern w:val="0"/>
          <w:sz w:val="20"/>
          <w:szCs w:val="20"/>
          <w:lang w:val="en-US" w:eastAsia="zh-CN"/>
        </w:rPr>
        <w:t>This option is similar to option2. The difference is that any configured BWP can be transited to dormant state.</w:t>
      </w:r>
    </w:p>
    <w:p>
      <w:pPr>
        <w:ind w:leftChars="100"/>
        <w:rPr>
          <w:rFonts w:hint="default"/>
          <w:szCs w:val="21"/>
          <w:lang w:val="en-US"/>
        </w:rPr>
      </w:pPr>
      <w:r>
        <w:rPr>
          <w:rFonts w:hint="default"/>
          <w:b/>
          <w:bCs/>
          <w:szCs w:val="21"/>
          <w:lang w:val="en-US"/>
        </w:rPr>
        <w:t>Option 4:</w:t>
      </w:r>
      <w:r>
        <w:rPr>
          <w:rFonts w:hint="default"/>
          <w:szCs w:val="21"/>
          <w:lang w:val="en-US"/>
        </w:rPr>
        <w:t xml:space="preserve"> In this option,</w:t>
      </w:r>
      <w:r>
        <w:rPr>
          <w:szCs w:val="21"/>
        </w:rPr>
        <w:t xml:space="preserve"> dormancy </w:t>
      </w:r>
      <w:r>
        <w:rPr>
          <w:rFonts w:hint="default"/>
          <w:szCs w:val="21"/>
          <w:lang w:val="en-US"/>
        </w:rPr>
        <w:t xml:space="preserve">behavior </w:t>
      </w:r>
      <w:r>
        <w:rPr>
          <w:szCs w:val="21"/>
        </w:rPr>
        <w:t>is implemented via L1 signaling which dynamically enable/disable PDCCH monitoring/CSI measurement for any BWP</w:t>
      </w:r>
      <w:r>
        <w:rPr>
          <w:rFonts w:hint="default"/>
          <w:szCs w:val="21"/>
          <w:lang w:val="en-US"/>
        </w:rPr>
        <w:t>. We understand it is only different to option 3 in sense of modeling.</w:t>
      </w:r>
    </w:p>
    <w:p>
      <w:pPr>
        <w:rPr>
          <w:rFonts w:hint="default"/>
          <w:szCs w:val="21"/>
          <w:lang w:val="en-US"/>
        </w:rPr>
      </w:pPr>
      <w:r>
        <w:rPr>
          <w:rFonts w:hint="default"/>
          <w:szCs w:val="21"/>
          <w:lang w:val="en-US"/>
        </w:rPr>
        <w:t>Because transition to dormancy from activated state is mainly because of traffic variation. When the traffic becomes low, it is beneficial to transit a SCell into dormancy before transit the whole SCell to deactivated state. When the traffic goes high when the SCell in dormancy, the network can activate it with much smaller delay compared to R15 SCell activation. Thus, we prefer option 3. With this option, any configured BWP can be transited to dormant state, but not necessary always the default BWP.</w:t>
      </w:r>
    </w:p>
    <w:p>
      <w:pPr>
        <w:numPr>
          <w:ilvl w:val="0"/>
          <w:numId w:val="5"/>
        </w:numPr>
        <w:ind w:left="1245" w:hanging="1245"/>
        <w:rPr>
          <w:b/>
          <w:bCs/>
          <w:szCs w:val="21"/>
        </w:rPr>
      </w:pPr>
      <w:r>
        <w:rPr>
          <w:rFonts w:hint="default"/>
          <w:b/>
          <w:bCs/>
          <w:szCs w:val="21"/>
          <w:lang w:val="en-US"/>
        </w:rPr>
        <w:t>Dormancy behavior is implemented by introducing a new dormant BWP state. Any configured BWP can be transited to BWP state.</w:t>
      </w:r>
    </w:p>
    <w:p>
      <w:pPr>
        <w:numPr>
          <w:ilvl w:val="0"/>
          <w:numId w:val="0"/>
        </w:numPr>
        <w:ind w:leftChars="0"/>
        <w:rPr>
          <w:rFonts w:hint="default"/>
          <w:b w:val="0"/>
          <w:bCs w:val="0"/>
          <w:szCs w:val="21"/>
          <w:lang w:val="en-US"/>
        </w:rPr>
      </w:pPr>
      <w:r>
        <w:rPr>
          <w:rFonts w:hint="default"/>
          <w:b w:val="0"/>
          <w:bCs w:val="0"/>
          <w:szCs w:val="21"/>
          <w:lang w:val="en-US"/>
        </w:rPr>
        <w:t>Thus we can define dormant BWP state as such:</w:t>
      </w:r>
    </w:p>
    <w:p>
      <w:pPr>
        <w:pStyle w:val="94"/>
        <w:rPr>
          <w:lang w:eastAsia="ko-KR"/>
        </w:rPr>
      </w:pPr>
      <w:r>
        <w:rPr>
          <w:lang w:eastAsia="ko-KR"/>
        </w:rPr>
        <w:t>1&gt;</w:t>
      </w:r>
      <w:r>
        <w:rPr>
          <w:lang w:eastAsia="ko-KR"/>
        </w:rPr>
        <w:tab/>
      </w:r>
      <w:r>
        <w:rPr>
          <w:lang w:eastAsia="ko-KR"/>
        </w:rPr>
        <w:t xml:space="preserve">if a BWP is </w:t>
      </w:r>
      <w:r>
        <w:rPr>
          <w:rFonts w:hint="default"/>
          <w:lang w:val="en-US" w:eastAsia="ko-KR"/>
        </w:rPr>
        <w:t>dormant</w:t>
      </w:r>
      <w:r>
        <w:rPr>
          <w:lang w:eastAsia="ko-KR"/>
        </w:rPr>
        <w:t>:</w:t>
      </w:r>
    </w:p>
    <w:p>
      <w:pPr>
        <w:pStyle w:val="106"/>
        <w:rPr>
          <w:lang w:eastAsia="ko-KR"/>
        </w:rPr>
      </w:pPr>
      <w:r>
        <w:rPr>
          <w:lang w:eastAsia="ko-KR"/>
        </w:rPr>
        <w:t>2&gt;</w:t>
      </w:r>
      <w:r>
        <w:rPr>
          <w:lang w:eastAsia="ko-KR"/>
        </w:rPr>
        <w:tab/>
      </w:r>
      <w:r>
        <w:rPr>
          <w:lang w:eastAsia="ko-KR"/>
        </w:rPr>
        <w:t>not transmit on UL-SCH on the BWP;</w:t>
      </w:r>
    </w:p>
    <w:p>
      <w:pPr>
        <w:pStyle w:val="106"/>
        <w:rPr>
          <w:lang w:eastAsia="ko-KR"/>
        </w:rPr>
      </w:pPr>
      <w:r>
        <w:rPr>
          <w:lang w:eastAsia="ko-KR"/>
        </w:rPr>
        <w:t>2&gt;</w:t>
      </w:r>
      <w:r>
        <w:rPr>
          <w:lang w:eastAsia="ko-KR"/>
        </w:rPr>
        <w:tab/>
      </w:r>
      <w:r>
        <w:rPr>
          <w:lang w:eastAsia="ko-KR"/>
        </w:rPr>
        <w:t>not transmit on RACH on the BWP;</w:t>
      </w:r>
    </w:p>
    <w:p>
      <w:pPr>
        <w:pStyle w:val="106"/>
        <w:rPr>
          <w:lang w:eastAsia="ko-KR"/>
        </w:rPr>
      </w:pPr>
      <w:r>
        <w:rPr>
          <w:lang w:eastAsia="ko-KR"/>
        </w:rPr>
        <w:t>2&gt;</w:t>
      </w:r>
      <w:r>
        <w:rPr>
          <w:lang w:eastAsia="ko-KR"/>
        </w:rPr>
        <w:tab/>
      </w:r>
      <w:r>
        <w:rPr>
          <w:lang w:eastAsia="ko-KR"/>
        </w:rPr>
        <w:t>not monitor the PDCCH on the BWP;</w:t>
      </w:r>
    </w:p>
    <w:p>
      <w:pPr>
        <w:pStyle w:val="106"/>
        <w:rPr>
          <w:lang w:eastAsia="ko-KR"/>
        </w:rPr>
      </w:pPr>
      <w:r>
        <w:rPr>
          <w:lang w:eastAsia="ko-KR"/>
        </w:rPr>
        <w:t>2&gt;</w:t>
      </w:r>
      <w:r>
        <w:rPr>
          <w:lang w:eastAsia="ko-KR"/>
        </w:rPr>
        <w:tab/>
      </w:r>
      <w:r>
        <w:rPr>
          <w:lang w:eastAsia="ko-KR"/>
        </w:rPr>
        <w:t>not transmit PUCCH on the BWP;</w:t>
      </w:r>
    </w:p>
    <w:p>
      <w:pPr>
        <w:pStyle w:val="106"/>
        <w:rPr>
          <w:highlight w:val="yellow"/>
          <w:u w:val="none"/>
          <w:lang w:eastAsia="ko-KR"/>
        </w:rPr>
      </w:pPr>
      <w:r>
        <w:rPr>
          <w:highlight w:val="none"/>
          <w:u w:val="none"/>
          <w:lang w:eastAsia="ko-KR"/>
        </w:rPr>
        <w:t>2&gt;</w:t>
      </w:r>
      <w:r>
        <w:rPr>
          <w:highlight w:val="none"/>
          <w:u w:val="none"/>
          <w:lang w:eastAsia="ko-KR"/>
        </w:rPr>
        <w:tab/>
      </w:r>
      <w:r>
        <w:rPr>
          <w:highlight w:val="none"/>
          <w:u w:val="none"/>
          <w:lang w:eastAsia="ko-KR"/>
        </w:rPr>
        <w:t>report CSI for the</w:t>
      </w:r>
      <w:r>
        <w:rPr>
          <w:highlight w:val="none"/>
          <w:u w:val="none"/>
          <w:lang w:eastAsia="ko-KR"/>
        </w:rPr>
        <w:t xml:space="preserve"> BWP;</w:t>
      </w:r>
    </w:p>
    <w:p>
      <w:pPr>
        <w:pStyle w:val="106"/>
        <w:rPr>
          <w:lang w:eastAsia="ko-KR"/>
        </w:rPr>
      </w:pPr>
      <w:r>
        <w:rPr>
          <w:lang w:eastAsia="ko-KR"/>
        </w:rPr>
        <w:t>2&gt;</w:t>
      </w:r>
      <w:r>
        <w:rPr>
          <w:lang w:eastAsia="ko-KR"/>
        </w:rPr>
        <w:tab/>
      </w:r>
      <w:r>
        <w:rPr>
          <w:lang w:eastAsia="ko-KR"/>
        </w:rPr>
        <w:t>not transmit SRS on the BWP;</w:t>
      </w:r>
    </w:p>
    <w:p>
      <w:pPr>
        <w:pStyle w:val="106"/>
        <w:rPr>
          <w:lang w:eastAsia="ko-KR"/>
        </w:rPr>
      </w:pPr>
      <w:r>
        <w:rPr>
          <w:lang w:eastAsia="ko-KR"/>
        </w:rPr>
        <w:t>2&gt;</w:t>
      </w:r>
      <w:r>
        <w:rPr>
          <w:lang w:eastAsia="ko-KR"/>
        </w:rPr>
        <w:tab/>
      </w:r>
      <w:r>
        <w:rPr>
          <w:lang w:eastAsia="ko-KR"/>
        </w:rPr>
        <w:t>not receive DL-SCH on the BWP;</w:t>
      </w:r>
    </w:p>
    <w:p>
      <w:pPr>
        <w:pStyle w:val="106"/>
        <w:rPr>
          <w:rFonts w:hint="default"/>
          <w:lang w:val="en-US" w:eastAsia="ko-KR"/>
        </w:rPr>
      </w:pPr>
      <w:r>
        <w:rPr>
          <w:lang w:eastAsia="ko-KR"/>
        </w:rPr>
        <w:t>2&gt;</w:t>
      </w:r>
      <w:r>
        <w:rPr>
          <w:lang w:eastAsia="ko-KR"/>
        </w:rPr>
        <w:tab/>
      </w:r>
      <w:r>
        <w:rPr>
          <w:lang w:eastAsia="ko-KR"/>
        </w:rPr>
        <w:t>clear any configured downlink assignment and configured uplink grant of configured grant Type 2 on the BWP;</w:t>
      </w:r>
      <w:r>
        <w:rPr>
          <w:rFonts w:hint="default"/>
          <w:highlight w:val="yellow"/>
          <w:lang w:val="en-US" w:eastAsia="ko-KR"/>
        </w:rPr>
        <w:t>(FFS)</w:t>
      </w:r>
    </w:p>
    <w:p>
      <w:pPr>
        <w:pStyle w:val="106"/>
        <w:rPr>
          <w:rFonts w:hint="default"/>
          <w:b/>
          <w:bCs/>
          <w:szCs w:val="21"/>
          <w:lang w:val="en-US"/>
        </w:rPr>
      </w:pPr>
      <w:r>
        <w:rPr>
          <w:lang w:eastAsia="ko-KR"/>
        </w:rPr>
        <w:t>2&gt;</w:t>
      </w:r>
      <w:r>
        <w:rPr>
          <w:lang w:eastAsia="ko-KR"/>
        </w:rPr>
        <w:tab/>
      </w:r>
      <w:r>
        <w:rPr>
          <w:lang w:eastAsia="ko-KR"/>
        </w:rPr>
        <w:t>suspend any configured uplink grant of configured grant Type 1 on the inactive BWP.</w:t>
      </w:r>
    </w:p>
    <w:p>
      <w:pPr>
        <w:numPr>
          <w:ilvl w:val="0"/>
          <w:numId w:val="0"/>
        </w:numPr>
        <w:ind w:leftChars="0"/>
        <w:rPr>
          <w:rFonts w:hint="default"/>
          <w:b w:val="0"/>
          <w:bCs w:val="0"/>
          <w:szCs w:val="21"/>
          <w:lang w:val="en-US"/>
        </w:rPr>
      </w:pPr>
      <w:r>
        <w:rPr>
          <w:rFonts w:hint="default"/>
          <w:b w:val="0"/>
          <w:bCs w:val="0"/>
          <w:szCs w:val="21"/>
          <w:lang w:val="en-US"/>
        </w:rPr>
        <w:t>Obviously, for a deactivated state SCell, all BWP are in deactivated state. Thus dormant BWP state is not applicable to deactivated Scell.</w:t>
      </w:r>
    </w:p>
    <w:p>
      <w:pPr>
        <w:numPr>
          <w:ilvl w:val="0"/>
          <w:numId w:val="0"/>
        </w:numPr>
        <w:ind w:leftChars="0"/>
        <w:rPr>
          <w:rFonts w:hint="default"/>
          <w:b w:val="0"/>
          <w:bCs w:val="0"/>
          <w:szCs w:val="21"/>
          <w:lang w:val="en-US"/>
        </w:rPr>
      </w:pPr>
      <w:r>
        <w:rPr>
          <w:rFonts w:hint="default"/>
          <w:b w:val="0"/>
          <w:bCs w:val="0"/>
          <w:szCs w:val="21"/>
          <w:lang w:val="en-US"/>
        </w:rPr>
        <w:t>Because introducing dormant BWP state is to save UE power when there is no traffic and fast activate it when there is traffic, there is no need for a activated SCell to configure an activated BWP and dormant state BWP simultaneously. Similarly, there is no need for an activated SCell to configure more than one BWP in dormant state simultaneously.</w:t>
      </w:r>
    </w:p>
    <w:p>
      <w:pPr>
        <w:numPr>
          <w:ilvl w:val="0"/>
          <w:numId w:val="5"/>
        </w:numPr>
        <w:ind w:left="1245" w:hanging="1245"/>
        <w:rPr>
          <w:rFonts w:hint="default"/>
          <w:b/>
          <w:bCs/>
          <w:szCs w:val="21"/>
          <w:lang w:val="en-US"/>
        </w:rPr>
      </w:pPr>
      <w:r>
        <w:rPr>
          <w:rFonts w:hint="default"/>
          <w:b/>
          <w:bCs/>
          <w:szCs w:val="21"/>
          <w:lang w:val="en-US"/>
        </w:rPr>
        <w:t>For a Activated SCell, there is only one BWP either in activated state or in dormant state.</w:t>
      </w:r>
    </w:p>
    <w:p>
      <w:pPr>
        <w:numPr>
          <w:ilvl w:val="0"/>
          <w:numId w:val="0"/>
        </w:numPr>
        <w:ind w:leftChars="0"/>
        <w:rPr>
          <w:rFonts w:hint="default"/>
          <w:b w:val="0"/>
          <w:bCs w:val="0"/>
          <w:szCs w:val="21"/>
          <w:lang w:val="en-US"/>
        </w:rPr>
      </w:pPr>
      <w:r>
        <w:rPr>
          <w:rFonts w:hint="default"/>
          <w:b w:val="0"/>
          <w:bCs w:val="0"/>
          <w:szCs w:val="21"/>
          <w:lang w:val="en-US"/>
        </w:rPr>
        <w:t xml:space="preserve">In LTE euCA, a SCell can be configured in dormant state. Similar approach can also be introduced for the dormant BWP state: when a SCell is configured as activated, the first active BWP can be configured in dormant state via RRC message. This provides further flexibility for the network. </w:t>
      </w:r>
    </w:p>
    <w:p>
      <w:pPr>
        <w:numPr>
          <w:ilvl w:val="0"/>
          <w:numId w:val="5"/>
        </w:numPr>
        <w:ind w:left="1245" w:hanging="1245"/>
        <w:rPr>
          <w:rFonts w:hint="default"/>
          <w:b/>
          <w:bCs/>
          <w:szCs w:val="21"/>
          <w:lang w:val="en-US"/>
        </w:rPr>
      </w:pPr>
      <w:r>
        <w:rPr>
          <w:rFonts w:hint="default"/>
          <w:b/>
          <w:bCs/>
          <w:szCs w:val="21"/>
          <w:lang w:val="en-US"/>
        </w:rPr>
        <w:t xml:space="preserve">when configured a SCell in activated state, its first active BWP can be configured in dormant state. </w:t>
      </w:r>
    </w:p>
    <w:p>
      <w:pPr>
        <w:numPr>
          <w:ilvl w:val="0"/>
          <w:numId w:val="0"/>
        </w:numPr>
        <w:ind w:leftChars="0"/>
        <w:rPr>
          <w:rFonts w:hint="default"/>
          <w:b w:val="0"/>
          <w:bCs w:val="0"/>
          <w:szCs w:val="21"/>
          <w:lang w:val="en-US"/>
        </w:rPr>
      </w:pPr>
      <w:r>
        <w:rPr>
          <w:rFonts w:hint="default"/>
          <w:b w:val="0"/>
          <w:bCs w:val="0"/>
          <w:szCs w:val="21"/>
          <w:lang w:val="en-US"/>
        </w:rPr>
        <w:t>Because in dormant state, no uplink transmission is expected on the dormant BWP, dormant state BWP should not be applicable for PCell, SpCell and PUCCH SCell.</w:t>
      </w:r>
    </w:p>
    <w:p>
      <w:pPr>
        <w:numPr>
          <w:ilvl w:val="0"/>
          <w:numId w:val="5"/>
        </w:numPr>
        <w:ind w:left="1245" w:hanging="1245"/>
        <w:rPr>
          <w:rFonts w:hint="default"/>
          <w:b/>
          <w:bCs/>
          <w:szCs w:val="21"/>
          <w:lang w:val="en-US"/>
        </w:rPr>
      </w:pPr>
      <w:r>
        <w:rPr>
          <w:rFonts w:hint="default"/>
          <w:b/>
          <w:bCs/>
          <w:szCs w:val="21"/>
          <w:lang w:val="en-US"/>
        </w:rPr>
        <w:t xml:space="preserve">Dormant BWP state is not applicable to PCell, pSCell and PUCCCH SCell. </w:t>
      </w:r>
    </w:p>
    <w:p>
      <w:pPr>
        <w:numPr>
          <w:ilvl w:val="0"/>
          <w:numId w:val="0"/>
        </w:numPr>
        <w:ind w:leftChars="0"/>
        <w:rPr>
          <w:rFonts w:hint="default"/>
          <w:b w:val="0"/>
          <w:bCs w:val="0"/>
          <w:szCs w:val="21"/>
          <w:lang w:val="en-US"/>
        </w:rPr>
      </w:pPr>
      <w:r>
        <w:rPr>
          <w:rFonts w:hint="default"/>
          <w:b w:val="0"/>
          <w:bCs w:val="0"/>
          <w:szCs w:val="21"/>
          <w:lang w:val="en-US"/>
        </w:rPr>
        <w:t>And similar to LTE euCA, timers can be introduced to control when UE transit current activated BWP to dormant state when there is no data scheduling for a period of time.</w:t>
      </w:r>
    </w:p>
    <w:p>
      <w:pPr>
        <w:numPr>
          <w:ilvl w:val="0"/>
          <w:numId w:val="5"/>
        </w:numPr>
        <w:ind w:left="1245" w:hanging="1245"/>
        <w:rPr>
          <w:rFonts w:hint="default"/>
          <w:b/>
          <w:bCs/>
          <w:szCs w:val="21"/>
          <w:lang w:val="en-US"/>
        </w:rPr>
      </w:pPr>
      <w:r>
        <w:rPr>
          <w:rFonts w:hint="default"/>
          <w:b/>
          <w:bCs/>
          <w:szCs w:val="21"/>
          <w:lang w:val="en-US"/>
        </w:rPr>
        <w:t xml:space="preserve">To define timer to control UE transit active BWP to dormant state after a period of inactivity. </w:t>
      </w:r>
    </w:p>
    <w:p>
      <w:pPr>
        <w:numPr>
          <w:ilvl w:val="0"/>
          <w:numId w:val="0"/>
        </w:numPr>
        <w:ind w:leftChars="0"/>
        <w:rPr>
          <w:rFonts w:hint="default"/>
          <w:b w:val="0"/>
          <w:bCs w:val="0"/>
          <w:szCs w:val="21"/>
          <w:lang w:val="en-US"/>
        </w:rPr>
      </w:pPr>
      <w:r>
        <w:rPr>
          <w:rFonts w:hint="default"/>
          <w:b w:val="0"/>
          <w:bCs w:val="0"/>
          <w:szCs w:val="21"/>
          <w:lang w:val="en-US"/>
        </w:rPr>
        <w:t xml:space="preserve">In NR, when BWP inactivity timer times out, UE performs BWP switching to default BWP. If dormant BWP is introduced, it is to be determine whether the BWP inactivity timer is stopped when active BWP transition to dormant state. </w:t>
      </w:r>
    </w:p>
    <w:p>
      <w:pPr>
        <w:numPr>
          <w:ilvl w:val="0"/>
          <w:numId w:val="5"/>
        </w:numPr>
        <w:ind w:left="1245" w:hanging="1245"/>
        <w:rPr>
          <w:rFonts w:hint="default"/>
          <w:b/>
          <w:bCs/>
          <w:szCs w:val="21"/>
          <w:lang w:val="en-US"/>
        </w:rPr>
      </w:pPr>
      <w:r>
        <w:rPr>
          <w:rFonts w:hint="default"/>
          <w:b/>
          <w:bCs/>
          <w:szCs w:val="21"/>
          <w:lang w:val="en-US"/>
        </w:rPr>
        <w:t>BWP inactivity timer is not stopped due to active BWP transition to dormant state.</w:t>
      </w:r>
    </w:p>
    <w:p>
      <w:pPr>
        <w:rPr>
          <w:i/>
          <w:iCs/>
          <w:sz w:val="20"/>
          <w:szCs w:val="20"/>
          <w:u w:val="single"/>
        </w:rPr>
      </w:pPr>
    </w:p>
    <w:p>
      <w:pPr>
        <w:rPr>
          <w:b/>
          <w:bCs/>
          <w:szCs w:val="21"/>
        </w:rPr>
      </w:pPr>
      <w:r>
        <w:rPr>
          <w:b/>
          <w:bCs/>
          <w:i/>
          <w:iCs/>
          <w:szCs w:val="21"/>
          <w:u w:val="single"/>
        </w:rPr>
        <w:t>Temporary reference signal to speed up SCell activation</w:t>
      </w:r>
      <w:r>
        <w:rPr>
          <w:b/>
          <w:bCs/>
          <w:szCs w:val="21"/>
        </w:rPr>
        <w:t xml:space="preserve"> </w:t>
      </w:r>
    </w:p>
    <w:p>
      <w:pPr>
        <w:rPr>
          <w:color w:val="000000"/>
          <w:szCs w:val="21"/>
        </w:rPr>
      </w:pPr>
      <w:r>
        <w:rPr>
          <w:szCs w:val="21"/>
        </w:rPr>
        <w:t xml:space="preserve">Another approach is to transmit </w:t>
      </w:r>
      <w:r>
        <w:rPr>
          <w:color w:val="000000"/>
          <w:szCs w:val="21"/>
        </w:rPr>
        <w:t xml:space="preserve">CSI-RS for tracking (TRS) or CSI-RS immediately after the SCell activation command or RRC signaling which configures the SCell in activated. The UE performs time/frequency synchronization and AGC based on this temporary reference signal instead of acquiring SSB according to SMTC configuration. The </w:t>
      </w:r>
      <w:r>
        <w:rPr>
          <w:szCs w:val="21"/>
        </w:rPr>
        <w:t>T</w:t>
      </w:r>
      <w:r>
        <w:rPr>
          <w:sz w:val="15"/>
          <w:szCs w:val="15"/>
        </w:rPr>
        <w:t>activation_time</w:t>
      </w:r>
      <w:r>
        <w:rPr>
          <w:color w:val="000000"/>
          <w:szCs w:val="21"/>
        </w:rPr>
        <w:t xml:space="preserve"> can be reduced greatly comparing to R15 SCell activation delay. The following figure shows the timeline of this approach for SCell activation via MAC CE case.</w:t>
      </w:r>
    </w:p>
    <w:p>
      <w:pPr>
        <w:jc w:val="center"/>
        <w:rPr>
          <w:color w:val="000000"/>
        </w:rPr>
      </w:pPr>
      <w:r>
        <w:object>
          <v:shape id="_x0000_i1025" o:spt="75" type="#_x0000_t75" style="height:131.35pt;width:324.3pt;" o:ole="t" filled="f" o:preferrelative="t" stroked="f" coordsize="21600,21600">
            <v:path/>
            <v:fill on="f" focussize="0,0"/>
            <v:stroke on="f" joinstyle="miter"/>
            <v:imagedata r:id="rId9" o:title=""/>
            <o:lock v:ext="edit" aspectratio="f"/>
            <w10:wrap type="none"/>
            <w10:anchorlock/>
          </v:shape>
          <o:OLEObject Type="Embed" ProgID="Visio.Drawing.11" ShapeID="_x0000_i1025" DrawAspect="Content" ObjectID="_1468075725" r:id="rId8">
            <o:LockedField>false</o:LockedField>
          </o:OLEObject>
        </w:object>
      </w:r>
    </w:p>
    <w:p>
      <w:pPr>
        <w:jc w:val="center"/>
        <w:rPr>
          <w:i/>
          <w:iCs/>
          <w:color w:val="000000"/>
        </w:rPr>
      </w:pPr>
      <w:r>
        <w:rPr>
          <w:i/>
          <w:iCs/>
          <w:color w:val="000000"/>
        </w:rPr>
        <w:t>Figure 1. Scell activation timeline with temporary reference signal</w:t>
      </w:r>
    </w:p>
    <w:p>
      <w:pPr>
        <w:rPr>
          <w:color w:val="000000"/>
          <w:szCs w:val="21"/>
        </w:rPr>
      </w:pPr>
      <w:r>
        <w:rPr>
          <w:color w:val="000000"/>
          <w:szCs w:val="21"/>
        </w:rPr>
        <w:t xml:space="preserve">In this case, the network transmit the temporary reference signal aperiodically or semi-persistently after SCell activation MAC CE, e.g. after the </w:t>
      </w:r>
      <w:r>
        <w:rPr>
          <w:i/>
          <w:iCs/>
          <w:color w:val="000000"/>
          <w:szCs w:val="21"/>
        </w:rPr>
        <w:t>k1</w:t>
      </w:r>
      <w:r>
        <w:rPr>
          <w:color w:val="000000"/>
          <w:szCs w:val="21"/>
        </w:rPr>
        <w:t>+3ms+1slot, as defined in 38.213, where the UE is assumed to be ready for CSI reporting. Besides, CSI reporting can be optimized to speed up CSI reporting (</w:t>
      </w:r>
      <w:r>
        <w:rPr>
          <w:szCs w:val="21"/>
        </w:rPr>
        <w:t>T</w:t>
      </w:r>
      <w:r>
        <w:rPr>
          <w:szCs w:val="21"/>
          <w:vertAlign w:val="subscript"/>
        </w:rPr>
        <w:t>CSI_Reporting</w:t>
      </w:r>
      <w:r>
        <w:rPr>
          <w:color w:val="000000"/>
          <w:szCs w:val="21"/>
        </w:rPr>
        <w:t>). It is up to RAN4 to determine the exact timing when the network can transmit the temporary reference signal, and the time needed to perform time/frequency synchronization and AGC adjustment. However, it is reasonable to assume this delay can be less than 10ms (</w:t>
      </w:r>
      <w:r>
        <w:rPr>
          <w:szCs w:val="21"/>
        </w:rPr>
        <w:t>[T</w:t>
      </w:r>
      <w:r>
        <w:rPr>
          <w:szCs w:val="21"/>
          <w:vertAlign w:val="subscript"/>
        </w:rPr>
        <w:t>HARQ</w:t>
      </w:r>
      <w:r>
        <w:rPr>
          <w:szCs w:val="21"/>
        </w:rPr>
        <w:t xml:space="preserve"> + T</w:t>
      </w:r>
      <w:r>
        <w:rPr>
          <w:szCs w:val="21"/>
          <w:vertAlign w:val="subscript"/>
        </w:rPr>
        <w:t>Temporary_reference</w:t>
      </w:r>
      <w:r>
        <w:rPr>
          <w:szCs w:val="21"/>
        </w:rPr>
        <w:t xml:space="preserve"> + T</w:t>
      </w:r>
      <w:r>
        <w:rPr>
          <w:szCs w:val="21"/>
          <w:vertAlign w:val="subscript"/>
        </w:rPr>
        <w:t>CSI_Reporting</w:t>
      </w:r>
      <w:r>
        <w:rPr>
          <w:szCs w:val="21"/>
        </w:rPr>
        <w:t>]</w:t>
      </w:r>
      <w:r>
        <w:rPr>
          <w:color w:val="000000"/>
          <w:szCs w:val="21"/>
        </w:rPr>
        <w:t>).</w:t>
      </w:r>
    </w:p>
    <w:p>
      <w:pPr>
        <w:rPr>
          <w:color w:val="000000"/>
          <w:szCs w:val="21"/>
        </w:rPr>
      </w:pPr>
      <w:r>
        <w:rPr>
          <w:color w:val="000000"/>
          <w:szCs w:val="21"/>
        </w:rPr>
        <w:t>This approach also applies to the case of configuring an SCell in activated state.</w:t>
      </w:r>
    </w:p>
    <w:p>
      <w:pPr>
        <w:numPr>
          <w:ilvl w:val="0"/>
          <w:numId w:val="5"/>
        </w:numPr>
        <w:ind w:left="1245" w:hanging="1245"/>
        <w:rPr>
          <w:b/>
          <w:bCs/>
          <w:szCs w:val="21"/>
        </w:rPr>
      </w:pPr>
      <w:r>
        <w:rPr>
          <w:b/>
          <w:bCs/>
          <w:szCs w:val="21"/>
        </w:rPr>
        <w:t>The network transmits temporary reference signal immediately after the SCell activation command and the RRC message which configures the SCell in activated to speed up the activation procedure.</w:t>
      </w:r>
    </w:p>
    <w:p>
      <w:pPr>
        <w:rPr>
          <w:rFonts w:hint="default"/>
          <w:szCs w:val="21"/>
          <w:lang w:val="en-US"/>
        </w:rPr>
      </w:pPr>
    </w:p>
    <w:p>
      <w:pPr>
        <w:rPr>
          <w:rFonts w:hint="default"/>
          <w:b/>
          <w:bCs/>
          <w:i/>
          <w:iCs/>
          <w:szCs w:val="21"/>
          <w:u w:val="single"/>
          <w:lang w:val="en-US"/>
        </w:rPr>
      </w:pPr>
      <w:r>
        <w:rPr>
          <w:rFonts w:hint="default"/>
          <w:b/>
          <w:bCs/>
          <w:i/>
          <w:iCs/>
          <w:szCs w:val="21"/>
          <w:u w:val="single"/>
          <w:lang w:val="en-US"/>
        </w:rPr>
        <w:t>Application of dormant BWP and temporary RS resources</w:t>
      </w:r>
    </w:p>
    <w:p>
      <w:pPr>
        <w:rPr>
          <w:szCs w:val="21"/>
        </w:rPr>
      </w:pPr>
      <w:r>
        <w:rPr>
          <w:szCs w:val="21"/>
        </w:rPr>
        <w:t>In our understanding, these two approaches are suitable to different scenarios respectively.</w:t>
      </w:r>
    </w:p>
    <w:p>
      <w:pPr>
        <w:rPr>
          <w:szCs w:val="21"/>
        </w:rPr>
      </w:pPr>
      <w:r>
        <w:rPr>
          <w:szCs w:val="21"/>
        </w:rPr>
        <w:t>With dormant state, a SCell can be activated fast, e.g. less than 3ms with dormant BWP. The cost is UE power consumption for keeping CSI measurement. Thus this approach is suitable to rapid traffic adaption. It can be used as a middle state before moving the SCell to deactivated state.</w:t>
      </w:r>
    </w:p>
    <w:p>
      <w:pPr>
        <w:rPr>
          <w:szCs w:val="21"/>
        </w:rPr>
      </w:pPr>
      <w:r>
        <w:rPr>
          <w:szCs w:val="21"/>
        </w:rPr>
        <w:t>When the SCell is kept dormant for a period of time, it is preferable to transit it to deactivated state to further save UE power. And RAN2 has agreed to support direct configuration of an SCell in activated state. Thus, optimizing SCell activation delay for these two cases is also meaningful.</w:t>
      </w:r>
    </w:p>
    <w:p>
      <w:pPr>
        <w:rPr>
          <w:szCs w:val="21"/>
        </w:rPr>
      </w:pPr>
      <w:r>
        <w:rPr>
          <w:szCs w:val="21"/>
        </w:rPr>
        <w:t>On the other hand, with the temporary reference signal approach, more resources are needed since the temporary reference signal cannot be shared among UEs. This approach is more suitable for non-frequent usage. With the help of dormant SCell or dormant BWP, the frequency of SCell activation from deactivated can be reduced. Thus it is preferred to adopt both approach1 an approach 2 for R16 NR.</w:t>
      </w:r>
    </w:p>
    <w:tbl>
      <w:tblPr>
        <w:tblStyle w:val="65"/>
        <w:tblW w:w="9649" w:type="dxa"/>
        <w:jc w:val="center"/>
        <w:tblInd w:w="4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5"/>
        <w:gridCol w:w="3782"/>
        <w:gridCol w:w="3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85" w:type="dxa"/>
          </w:tcPr>
          <w:p>
            <w:pPr>
              <w:jc w:val="center"/>
              <w:rPr>
                <w:b/>
                <w:bCs/>
                <w:szCs w:val="21"/>
              </w:rPr>
            </w:pPr>
          </w:p>
        </w:tc>
        <w:tc>
          <w:tcPr>
            <w:tcW w:w="3782" w:type="dxa"/>
          </w:tcPr>
          <w:p>
            <w:pPr>
              <w:jc w:val="center"/>
              <w:rPr>
                <w:b/>
                <w:bCs/>
                <w:szCs w:val="21"/>
              </w:rPr>
            </w:pPr>
            <w:r>
              <w:rPr>
                <w:b/>
                <w:bCs/>
                <w:szCs w:val="21"/>
              </w:rPr>
              <w:t>Approach 1</w:t>
            </w:r>
          </w:p>
          <w:p>
            <w:pPr>
              <w:jc w:val="center"/>
              <w:rPr>
                <w:b/>
                <w:bCs/>
                <w:szCs w:val="21"/>
              </w:rPr>
            </w:pPr>
            <w:r>
              <w:rPr>
                <w:b/>
                <w:bCs/>
                <w:szCs w:val="21"/>
              </w:rPr>
              <w:t>Dormant SCell or dormant BWP</w:t>
            </w:r>
          </w:p>
        </w:tc>
        <w:tc>
          <w:tcPr>
            <w:tcW w:w="3782" w:type="dxa"/>
          </w:tcPr>
          <w:p>
            <w:pPr>
              <w:jc w:val="center"/>
              <w:rPr>
                <w:b/>
                <w:bCs/>
                <w:szCs w:val="21"/>
              </w:rPr>
            </w:pPr>
            <w:r>
              <w:rPr>
                <w:b/>
                <w:bCs/>
                <w:szCs w:val="21"/>
              </w:rPr>
              <w:t>Approach 2</w:t>
            </w:r>
          </w:p>
          <w:p>
            <w:pPr>
              <w:jc w:val="center"/>
              <w:rPr>
                <w:b/>
                <w:bCs/>
                <w:szCs w:val="21"/>
              </w:rPr>
            </w:pPr>
            <w:r>
              <w:rPr>
                <w:b/>
                <w:bCs/>
                <w:szCs w:val="21"/>
              </w:rPr>
              <w:t>Temporary reference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85" w:type="dxa"/>
          </w:tcPr>
          <w:p>
            <w:pPr>
              <w:rPr>
                <w:b/>
                <w:bCs/>
                <w:szCs w:val="21"/>
              </w:rPr>
            </w:pPr>
            <w:r>
              <w:rPr>
                <w:b/>
                <w:bCs/>
                <w:szCs w:val="21"/>
              </w:rPr>
              <w:t>Activation delay</w:t>
            </w:r>
          </w:p>
        </w:tc>
        <w:tc>
          <w:tcPr>
            <w:tcW w:w="3782" w:type="dxa"/>
          </w:tcPr>
          <w:p>
            <w:pPr>
              <w:rPr>
                <w:szCs w:val="21"/>
              </w:rPr>
            </w:pPr>
            <w:r>
              <w:rPr>
                <w:szCs w:val="21"/>
              </w:rPr>
              <w:t>Less than 3ms (dormant BWP)</w:t>
            </w:r>
          </w:p>
        </w:tc>
        <w:tc>
          <w:tcPr>
            <w:tcW w:w="3782" w:type="dxa"/>
          </w:tcPr>
          <w:p>
            <w:pPr>
              <w:rPr>
                <w:szCs w:val="21"/>
              </w:rPr>
            </w:pPr>
            <w:r>
              <w:rPr>
                <w:szCs w:val="21"/>
              </w:rPr>
              <w:t>Assumed to be less than 10ms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85" w:type="dxa"/>
          </w:tcPr>
          <w:p>
            <w:pPr>
              <w:rPr>
                <w:rFonts w:hint="default"/>
                <w:b/>
                <w:bCs/>
                <w:szCs w:val="21"/>
                <w:lang w:val="en-US"/>
              </w:rPr>
            </w:pPr>
            <w:r>
              <w:rPr>
                <w:b/>
                <w:bCs/>
                <w:szCs w:val="21"/>
              </w:rPr>
              <w:t xml:space="preserve">UE power </w:t>
            </w:r>
            <w:r>
              <w:rPr>
                <w:rFonts w:hint="default"/>
                <w:b/>
                <w:bCs/>
                <w:szCs w:val="21"/>
                <w:lang w:val="en-US"/>
              </w:rPr>
              <w:t>consumption</w:t>
            </w:r>
          </w:p>
        </w:tc>
        <w:tc>
          <w:tcPr>
            <w:tcW w:w="3782" w:type="dxa"/>
          </w:tcPr>
          <w:p>
            <w:pPr>
              <w:rPr>
                <w:szCs w:val="21"/>
              </w:rPr>
            </w:pPr>
            <w:r>
              <w:rPr>
                <w:szCs w:val="21"/>
              </w:rPr>
              <w:t xml:space="preserve">CSI measurement/report, </w:t>
            </w:r>
          </w:p>
          <w:p>
            <w:pPr>
              <w:rPr>
                <w:szCs w:val="21"/>
              </w:rPr>
            </w:pPr>
            <w:r>
              <w:rPr>
                <w:szCs w:val="21"/>
              </w:rPr>
              <w:t>RRM measurement</w:t>
            </w:r>
          </w:p>
        </w:tc>
        <w:tc>
          <w:tcPr>
            <w:tcW w:w="3782" w:type="dxa"/>
          </w:tcPr>
          <w:p>
            <w:pPr>
              <w:rPr>
                <w:szCs w:val="21"/>
              </w:rPr>
            </w:pPr>
            <w:r>
              <w:rPr>
                <w:szCs w:val="21"/>
              </w:rPr>
              <w:t>RRM measurement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085" w:type="dxa"/>
          </w:tcPr>
          <w:p>
            <w:pPr>
              <w:rPr>
                <w:b/>
                <w:bCs/>
                <w:szCs w:val="21"/>
              </w:rPr>
            </w:pPr>
            <w:r>
              <w:rPr>
                <w:b/>
                <w:bCs/>
                <w:szCs w:val="21"/>
              </w:rPr>
              <w:t>Suitable to</w:t>
            </w:r>
          </w:p>
        </w:tc>
        <w:tc>
          <w:tcPr>
            <w:tcW w:w="3782" w:type="dxa"/>
          </w:tcPr>
          <w:p>
            <w:pPr>
              <w:numPr>
                <w:ilvl w:val="0"/>
                <w:numId w:val="6"/>
              </w:numPr>
              <w:rPr>
                <w:szCs w:val="21"/>
              </w:rPr>
            </w:pPr>
            <w:r>
              <w:rPr>
                <w:szCs w:val="21"/>
              </w:rPr>
              <w:t>Rapid traffic volume adaption</w:t>
            </w:r>
          </w:p>
          <w:p>
            <w:pPr>
              <w:numPr>
                <w:ilvl w:val="0"/>
                <w:numId w:val="6"/>
              </w:numPr>
              <w:rPr>
                <w:szCs w:val="21"/>
              </w:rPr>
            </w:pPr>
            <w:r>
              <w:rPr>
                <w:szCs w:val="21"/>
              </w:rPr>
              <w:t>Before moving an SCell to deactivated.</w:t>
            </w:r>
          </w:p>
          <w:p>
            <w:pPr>
              <w:numPr>
                <w:ilvl w:val="0"/>
                <w:numId w:val="6"/>
              </w:numPr>
              <w:rPr>
                <w:szCs w:val="21"/>
              </w:rPr>
            </w:pPr>
            <w:r>
              <w:rPr>
                <w:szCs w:val="21"/>
              </w:rPr>
              <w:t>Frequent usage</w:t>
            </w:r>
          </w:p>
        </w:tc>
        <w:tc>
          <w:tcPr>
            <w:tcW w:w="3782" w:type="dxa"/>
          </w:tcPr>
          <w:p>
            <w:pPr>
              <w:numPr>
                <w:ilvl w:val="0"/>
                <w:numId w:val="7"/>
              </w:numPr>
              <w:rPr>
                <w:szCs w:val="21"/>
              </w:rPr>
            </w:pPr>
            <w:r>
              <w:rPr>
                <w:szCs w:val="21"/>
              </w:rPr>
              <w:t>SCell activation from deactivated</w:t>
            </w:r>
          </w:p>
          <w:p>
            <w:pPr>
              <w:numPr>
                <w:ilvl w:val="0"/>
                <w:numId w:val="7"/>
              </w:numPr>
              <w:rPr>
                <w:szCs w:val="21"/>
              </w:rPr>
            </w:pPr>
            <w:r>
              <w:rPr>
                <w:szCs w:val="21"/>
              </w:rPr>
              <w:t>Direct configuration in activated</w:t>
            </w:r>
          </w:p>
          <w:p>
            <w:pPr>
              <w:numPr>
                <w:ilvl w:val="0"/>
                <w:numId w:val="7"/>
              </w:numPr>
              <w:rPr>
                <w:szCs w:val="21"/>
              </w:rPr>
            </w:pPr>
            <w:r>
              <w:rPr>
                <w:szCs w:val="21"/>
              </w:rPr>
              <w:t>Non-frequent usage due to additional reference signal is required</w:t>
            </w:r>
          </w:p>
        </w:tc>
      </w:tr>
    </w:tbl>
    <w:p>
      <w:pPr>
        <w:rPr>
          <w:szCs w:val="21"/>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Conclusion</w:t>
      </w:r>
    </w:p>
    <w:p>
      <w:pPr>
        <w:numPr>
          <w:ilvl w:val="0"/>
          <w:numId w:val="8"/>
        </w:numPr>
        <w:ind w:left="1485" w:hanging="1485"/>
        <w:rPr>
          <w:b/>
          <w:bCs/>
          <w:szCs w:val="21"/>
        </w:rPr>
      </w:pPr>
      <w:r>
        <w:rPr>
          <w:rFonts w:hint="default"/>
          <w:b/>
          <w:bCs/>
          <w:szCs w:val="21"/>
          <w:lang w:val="en-US"/>
        </w:rPr>
        <w:t>With L1 signaling to switch from dormancy to activated, the SCell activation delay can be reduced to 3~4 ms for FR1</w:t>
      </w:r>
      <w:r>
        <w:rPr>
          <w:b/>
          <w:bCs/>
          <w:szCs w:val="21"/>
        </w:rPr>
        <w:t>.</w:t>
      </w:r>
    </w:p>
    <w:p>
      <w:pPr>
        <w:numPr>
          <w:ilvl w:val="0"/>
          <w:numId w:val="9"/>
        </w:numPr>
        <w:ind w:left="1245" w:hanging="1245"/>
        <w:rPr>
          <w:rFonts w:hint="default"/>
          <w:b/>
          <w:bCs/>
          <w:szCs w:val="21"/>
          <w:lang w:val="en-US"/>
        </w:rPr>
      </w:pPr>
      <w:r>
        <w:rPr>
          <w:rFonts w:hint="default"/>
          <w:b/>
          <w:bCs/>
          <w:szCs w:val="21"/>
          <w:lang w:val="en-US"/>
        </w:rPr>
        <w:t>Dormancy behavior is implemented by introducing a new dormant BWP state. Any configured BWP can be transited to BWP state.</w:t>
      </w:r>
    </w:p>
    <w:p>
      <w:pPr>
        <w:numPr>
          <w:ilvl w:val="0"/>
          <w:numId w:val="9"/>
        </w:numPr>
        <w:ind w:left="1245" w:hanging="1245"/>
        <w:rPr>
          <w:rFonts w:hint="default"/>
          <w:b/>
          <w:bCs/>
          <w:szCs w:val="21"/>
          <w:lang w:val="en-US"/>
        </w:rPr>
      </w:pPr>
      <w:r>
        <w:rPr>
          <w:rFonts w:hint="default"/>
          <w:b/>
          <w:bCs/>
          <w:szCs w:val="21"/>
          <w:lang w:val="en-US"/>
        </w:rPr>
        <w:t>For a Activated SCell, there is only one BWP either in activated state or in dormant state.</w:t>
      </w:r>
    </w:p>
    <w:p>
      <w:pPr>
        <w:numPr>
          <w:ilvl w:val="0"/>
          <w:numId w:val="9"/>
        </w:numPr>
        <w:ind w:left="1245" w:hanging="1245"/>
        <w:rPr>
          <w:rFonts w:hint="default"/>
          <w:b/>
          <w:bCs/>
          <w:szCs w:val="21"/>
          <w:lang w:val="en-US"/>
        </w:rPr>
      </w:pPr>
      <w:r>
        <w:rPr>
          <w:rFonts w:hint="default"/>
          <w:b/>
          <w:bCs/>
          <w:szCs w:val="21"/>
          <w:lang w:val="en-US"/>
        </w:rPr>
        <w:t xml:space="preserve">when configured a SCell in activated state, its first active BWP can be configured in dormant state. </w:t>
      </w:r>
    </w:p>
    <w:p>
      <w:pPr>
        <w:numPr>
          <w:ilvl w:val="0"/>
          <w:numId w:val="9"/>
        </w:numPr>
        <w:ind w:left="1245" w:hanging="1245"/>
        <w:rPr>
          <w:rFonts w:hint="default"/>
          <w:b/>
          <w:bCs/>
          <w:szCs w:val="21"/>
          <w:lang w:val="en-US"/>
        </w:rPr>
      </w:pPr>
      <w:r>
        <w:rPr>
          <w:rFonts w:hint="default"/>
          <w:b/>
          <w:bCs/>
          <w:szCs w:val="21"/>
          <w:lang w:val="en-US"/>
        </w:rPr>
        <w:t xml:space="preserve">Dormant BWP state is not applicable to PCell, pSCell and PUCCCH SCell. </w:t>
      </w:r>
    </w:p>
    <w:p>
      <w:pPr>
        <w:numPr>
          <w:ilvl w:val="0"/>
          <w:numId w:val="9"/>
        </w:numPr>
        <w:ind w:left="1245" w:hanging="1245"/>
        <w:rPr>
          <w:rFonts w:hint="default"/>
          <w:b/>
          <w:bCs/>
          <w:szCs w:val="21"/>
          <w:lang w:val="en-US"/>
        </w:rPr>
      </w:pPr>
      <w:r>
        <w:rPr>
          <w:rFonts w:hint="default"/>
          <w:b/>
          <w:bCs/>
          <w:szCs w:val="21"/>
          <w:lang w:val="en-US"/>
        </w:rPr>
        <w:t xml:space="preserve">To define timer to control UE transit active BWP to dormant state after a period of inactivity. </w:t>
      </w:r>
    </w:p>
    <w:p>
      <w:pPr>
        <w:numPr>
          <w:ilvl w:val="0"/>
          <w:numId w:val="9"/>
        </w:numPr>
        <w:ind w:left="1245" w:hanging="1245"/>
        <w:rPr>
          <w:rFonts w:hint="default"/>
          <w:b/>
          <w:bCs/>
          <w:szCs w:val="21"/>
          <w:lang w:val="en-US"/>
        </w:rPr>
      </w:pPr>
      <w:r>
        <w:rPr>
          <w:rFonts w:hint="default"/>
          <w:b/>
          <w:bCs/>
          <w:szCs w:val="21"/>
          <w:lang w:val="en-US"/>
        </w:rPr>
        <w:t>BWP inactivity timer is not stopped due to active BWP transition to dormant state.</w:t>
      </w:r>
    </w:p>
    <w:p>
      <w:pPr>
        <w:numPr>
          <w:ilvl w:val="0"/>
          <w:numId w:val="5"/>
        </w:numPr>
        <w:ind w:left="1245" w:hanging="1245"/>
        <w:rPr>
          <w:b/>
          <w:bCs/>
          <w:szCs w:val="21"/>
        </w:rPr>
      </w:pPr>
      <w:r>
        <w:rPr>
          <w:b/>
          <w:bCs/>
          <w:szCs w:val="21"/>
        </w:rPr>
        <w:t>The network transmits temporary reference signal immediately after the SCell activation command and the RRC message which configures the SCell in activated to speed up the activation procedure.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b w:val="0"/>
          <w:bCs w:val="0"/>
          <w:kern w:val="0"/>
          <w:sz w:val="32"/>
          <w:szCs w:val="36"/>
        </w:rPr>
      </w:pPr>
      <w:r>
        <w:rPr>
          <w:b w:val="0"/>
          <w:bCs w:val="0"/>
          <w:kern w:val="0"/>
          <w:sz w:val="32"/>
          <w:szCs w:val="36"/>
        </w:rPr>
        <w:t>References</w:t>
      </w:r>
    </w:p>
    <w:p>
      <w:pPr>
        <w:pStyle w:val="67"/>
        <w:numPr>
          <w:ilvl w:val="0"/>
          <w:numId w:val="10"/>
        </w:numPr>
        <w:ind w:firstLineChars="0"/>
      </w:pPr>
      <w:r>
        <w:t>RAN2#10</w:t>
      </w:r>
      <w:r>
        <w:rPr>
          <w:rFonts w:hint="default"/>
          <w:lang w:val="en-US"/>
        </w:rPr>
        <w:t>6</w:t>
      </w:r>
      <w:r>
        <w:t xml:space="preserve"> chairman notes</w:t>
      </w:r>
    </w:p>
    <w:p>
      <w:pPr>
        <w:pStyle w:val="67"/>
        <w:numPr>
          <w:ilvl w:val="0"/>
          <w:numId w:val="10"/>
        </w:numPr>
        <w:ind w:firstLineChars="0"/>
      </w:pPr>
      <w:r>
        <w:t>TS 38.133, v15.5.0</w:t>
      </w:r>
    </w:p>
    <w:sectPr>
      <w:headerReference r:id="rId3" w:type="default"/>
      <w:footerReference r:id="rId4" w:type="default"/>
      <w:footerReference r:id="rId5" w:type="even"/>
      <w:pgSz w:w="11906" w:h="16838"/>
      <w:pgMar w:top="1440" w:right="975" w:bottom="208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A00002EF" w:usb1="4000207B" w:usb2="00000000" w:usb3="00000000" w:csb0="200000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A00002EF" w:usb1="4000204B" w:usb2="00000000" w:usb3="00000000" w:csb0="2000009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mbria Math">
    <w:panose1 w:val="02040503050406030204"/>
    <w:charset w:val="00"/>
    <w:family w:val="roman"/>
    <w:pitch w:val="default"/>
    <w:sig w:usb0="A00002EF" w:usb1="420020E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8"/>
      </w:rPr>
    </w:pPr>
    <w:r>
      <w:rPr>
        <w:rStyle w:val="58"/>
      </w:rPr>
      <w:fldChar w:fldCharType="begin"/>
    </w:r>
    <w:r>
      <w:rPr>
        <w:rStyle w:val="58"/>
      </w:rPr>
      <w:instrText xml:space="preserve">PAGE  </w:instrText>
    </w:r>
    <w:r>
      <w:rPr>
        <w:rStyle w:val="58"/>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7C59C2"/>
    <w:multiLevelType w:val="multilevel"/>
    <w:tmpl w:val="997C59C2"/>
    <w:lvl w:ilvl="0" w:tentative="0">
      <w:start w:val="1"/>
      <w:numFmt w:val="decimal"/>
      <w:lvlText w:val="Observation %1."/>
      <w:lvlJc w:val="left"/>
      <w:pPr>
        <w:ind w:left="1265" w:hanging="425"/>
      </w:pPr>
      <w:rPr>
        <w:rFonts w:hint="default" w:ascii="Times New Roman" w:hAnsi="Times New Roman" w:eastAsia="宋体" w:cs="宋体"/>
      </w:rPr>
    </w:lvl>
    <w:lvl w:ilvl="1" w:tentative="0">
      <w:start w:val="1"/>
      <w:numFmt w:val="decimal"/>
      <w:lvlText w:val="%1.%2."/>
      <w:lvlJc w:val="left"/>
      <w:pPr>
        <w:ind w:left="1407" w:hanging="567"/>
      </w:pPr>
      <w:rPr>
        <w:rFonts w:hint="default"/>
      </w:rPr>
    </w:lvl>
    <w:lvl w:ilvl="2" w:tentative="0">
      <w:start w:val="1"/>
      <w:numFmt w:val="decimal"/>
      <w:lvlText w:val="%1.%2.%3."/>
      <w:lvlJc w:val="left"/>
      <w:pPr>
        <w:ind w:left="1549" w:hanging="709"/>
      </w:pPr>
      <w:rPr>
        <w:rFonts w:hint="default"/>
      </w:rPr>
    </w:lvl>
    <w:lvl w:ilvl="3" w:tentative="0">
      <w:start w:val="1"/>
      <w:numFmt w:val="decimal"/>
      <w:lvlText w:val="%1.%2.%3.%4."/>
      <w:lvlJc w:val="left"/>
      <w:pPr>
        <w:ind w:left="1690" w:hanging="850"/>
      </w:pPr>
      <w:rPr>
        <w:rFonts w:hint="default"/>
      </w:rPr>
    </w:lvl>
    <w:lvl w:ilvl="4" w:tentative="0">
      <w:start w:val="1"/>
      <w:numFmt w:val="decimal"/>
      <w:lvlText w:val="%1.%2.%3.%4.%5."/>
      <w:lvlJc w:val="left"/>
      <w:pPr>
        <w:ind w:left="1831" w:hanging="991"/>
      </w:pPr>
      <w:rPr>
        <w:rFonts w:hint="default"/>
      </w:rPr>
    </w:lvl>
    <w:lvl w:ilvl="5" w:tentative="0">
      <w:start w:val="1"/>
      <w:numFmt w:val="decimal"/>
      <w:lvlText w:val="%1.%2.%3.%4.%5.%6."/>
      <w:lvlJc w:val="left"/>
      <w:pPr>
        <w:ind w:left="1974" w:hanging="1134"/>
      </w:pPr>
      <w:rPr>
        <w:rFonts w:hint="default"/>
      </w:rPr>
    </w:lvl>
    <w:lvl w:ilvl="6" w:tentative="0">
      <w:start w:val="1"/>
      <w:numFmt w:val="decimal"/>
      <w:lvlText w:val="%1.%2.%3.%4.%5.%6.%7."/>
      <w:lvlJc w:val="left"/>
      <w:pPr>
        <w:ind w:left="2115" w:hanging="1275"/>
      </w:pPr>
      <w:rPr>
        <w:rFonts w:hint="default"/>
      </w:rPr>
    </w:lvl>
    <w:lvl w:ilvl="7" w:tentative="0">
      <w:start w:val="1"/>
      <w:numFmt w:val="decimal"/>
      <w:lvlText w:val="%1.%2.%3.%4.%5.%6.%7.%8."/>
      <w:lvlJc w:val="left"/>
      <w:pPr>
        <w:ind w:left="2258" w:hanging="1418"/>
      </w:pPr>
      <w:rPr>
        <w:rFonts w:hint="default"/>
      </w:rPr>
    </w:lvl>
    <w:lvl w:ilvl="8" w:tentative="0">
      <w:start w:val="1"/>
      <w:numFmt w:val="decimal"/>
      <w:lvlText w:val="%1.%2.%3.%4.%5.%6.%7.%8.%9."/>
      <w:lvlJc w:val="left"/>
      <w:pPr>
        <w:ind w:left="2398" w:hanging="1558"/>
      </w:pPr>
      <w:rPr>
        <w:rFonts w:hint="default"/>
      </w:rPr>
    </w:lvl>
  </w:abstractNum>
  <w:abstractNum w:abstractNumId="1">
    <w:nsid w:val="EBE959A8"/>
    <w:multiLevelType w:val="multilevel"/>
    <w:tmpl w:val="EBE959A8"/>
    <w:lvl w:ilvl="0" w:tentative="0">
      <w:start w:val="1"/>
      <w:numFmt w:val="decimal"/>
      <w:lvlText w:val="Proposal %1"/>
      <w:lvlJc w:val="left"/>
      <w:pPr>
        <w:ind w:left="425" w:hanging="425"/>
      </w:pPr>
      <w:rPr>
        <w:rFonts w:hint="default" w:ascii="Times New Roman" w:hAnsi="Times New Roman" w:eastAsia="宋体" w:cs="宋体"/>
        <w:bCs/>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0E69BB1C"/>
    <w:multiLevelType w:val="singleLevel"/>
    <w:tmpl w:val="0E69BB1C"/>
    <w:lvl w:ilvl="0" w:tentative="0">
      <w:start w:val="1"/>
      <w:numFmt w:val="decimal"/>
      <w:suff w:val="space"/>
      <w:lvlText w:val="%1."/>
      <w:lvlJc w:val="left"/>
    </w:lvl>
  </w:abstractNum>
  <w:abstractNum w:abstractNumId="5">
    <w:nsid w:val="3112C1BF"/>
    <w:multiLevelType w:val="multilevel"/>
    <w:tmpl w:val="3112C1BF"/>
    <w:lvl w:ilvl="0" w:tentative="0">
      <w:start w:val="1"/>
      <w:numFmt w:val="decimal"/>
      <w:lvlText w:val="Observation %1."/>
      <w:lvlJc w:val="left"/>
      <w:pPr>
        <w:ind w:left="1265" w:hanging="425"/>
      </w:pPr>
      <w:rPr>
        <w:rFonts w:hint="default" w:ascii="Times New Roman" w:hAnsi="Times New Roman" w:eastAsia="宋体" w:cs="宋体"/>
      </w:rPr>
    </w:lvl>
    <w:lvl w:ilvl="1" w:tentative="0">
      <w:start w:val="1"/>
      <w:numFmt w:val="decimal"/>
      <w:lvlText w:val="%1.%2."/>
      <w:lvlJc w:val="left"/>
      <w:pPr>
        <w:ind w:left="1407" w:hanging="567"/>
      </w:pPr>
      <w:rPr>
        <w:rFonts w:hint="default"/>
      </w:rPr>
    </w:lvl>
    <w:lvl w:ilvl="2" w:tentative="0">
      <w:start w:val="1"/>
      <w:numFmt w:val="decimal"/>
      <w:lvlText w:val="%1.%2.%3."/>
      <w:lvlJc w:val="left"/>
      <w:pPr>
        <w:ind w:left="1549" w:hanging="709"/>
      </w:pPr>
      <w:rPr>
        <w:rFonts w:hint="default"/>
      </w:rPr>
    </w:lvl>
    <w:lvl w:ilvl="3" w:tentative="0">
      <w:start w:val="1"/>
      <w:numFmt w:val="decimal"/>
      <w:lvlText w:val="%1.%2.%3.%4."/>
      <w:lvlJc w:val="left"/>
      <w:pPr>
        <w:ind w:left="1690" w:hanging="850"/>
      </w:pPr>
      <w:rPr>
        <w:rFonts w:hint="default"/>
      </w:rPr>
    </w:lvl>
    <w:lvl w:ilvl="4" w:tentative="0">
      <w:start w:val="1"/>
      <w:numFmt w:val="decimal"/>
      <w:lvlText w:val="%1.%2.%3.%4.%5."/>
      <w:lvlJc w:val="left"/>
      <w:pPr>
        <w:ind w:left="1831" w:hanging="991"/>
      </w:pPr>
      <w:rPr>
        <w:rFonts w:hint="default"/>
      </w:rPr>
    </w:lvl>
    <w:lvl w:ilvl="5" w:tentative="0">
      <w:start w:val="1"/>
      <w:numFmt w:val="decimal"/>
      <w:lvlText w:val="%1.%2.%3.%4.%5.%6."/>
      <w:lvlJc w:val="left"/>
      <w:pPr>
        <w:ind w:left="1974" w:hanging="1134"/>
      </w:pPr>
      <w:rPr>
        <w:rFonts w:hint="default"/>
      </w:rPr>
    </w:lvl>
    <w:lvl w:ilvl="6" w:tentative="0">
      <w:start w:val="1"/>
      <w:numFmt w:val="decimal"/>
      <w:lvlText w:val="%1.%2.%3.%4.%5.%6.%7."/>
      <w:lvlJc w:val="left"/>
      <w:pPr>
        <w:ind w:left="2115" w:hanging="1275"/>
      </w:pPr>
      <w:rPr>
        <w:rFonts w:hint="default"/>
      </w:rPr>
    </w:lvl>
    <w:lvl w:ilvl="7" w:tentative="0">
      <w:start w:val="1"/>
      <w:numFmt w:val="decimal"/>
      <w:lvlText w:val="%1.%2.%3.%4.%5.%6.%7.%8."/>
      <w:lvlJc w:val="left"/>
      <w:pPr>
        <w:ind w:left="2258" w:hanging="1418"/>
      </w:pPr>
      <w:rPr>
        <w:rFonts w:hint="default"/>
      </w:rPr>
    </w:lvl>
    <w:lvl w:ilvl="8" w:tentative="0">
      <w:start w:val="1"/>
      <w:numFmt w:val="decimal"/>
      <w:lvlText w:val="%1.%2.%3.%4.%5.%6.%7.%8.%9."/>
      <w:lvlJc w:val="left"/>
      <w:pPr>
        <w:ind w:left="2398" w:hanging="1558"/>
      </w:pPr>
      <w:rPr>
        <w:rFonts w:hint="default"/>
      </w:rPr>
    </w:lvl>
  </w:abstractNum>
  <w:abstractNum w:abstractNumId="6">
    <w:nsid w:val="3653576A"/>
    <w:multiLevelType w:val="multilevel"/>
    <w:tmpl w:val="3653576A"/>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6988C715"/>
    <w:multiLevelType w:val="multilevel"/>
    <w:tmpl w:val="6988C715"/>
    <w:lvl w:ilvl="0" w:tentative="0">
      <w:start w:val="1"/>
      <w:numFmt w:val="decimal"/>
      <w:lvlText w:val="Proposal %1"/>
      <w:lvlJc w:val="left"/>
      <w:pPr>
        <w:ind w:left="425" w:hanging="425"/>
      </w:pPr>
      <w:rPr>
        <w:rFonts w:hint="default" w:ascii="Times New Roman" w:hAnsi="Times New Roman" w:eastAsia="宋体" w:cs="宋体"/>
        <w:bCs/>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9">
    <w:nsid w:val="7C575865"/>
    <w:multiLevelType w:val="singleLevel"/>
    <w:tmpl w:val="7C575865"/>
    <w:lvl w:ilvl="0" w:tentative="0">
      <w:start w:val="1"/>
      <w:numFmt w:val="decimal"/>
      <w:suff w:val="space"/>
      <w:lvlText w:val="%1."/>
      <w:lvlJc w:val="left"/>
    </w:lvl>
  </w:abstractNum>
  <w:num w:numId="1">
    <w:abstractNumId w:val="2"/>
  </w:num>
  <w:num w:numId="2">
    <w:abstractNumId w:val="7"/>
  </w:num>
  <w:num w:numId="3">
    <w:abstractNumId w:val="3"/>
  </w:num>
  <w:num w:numId="4">
    <w:abstractNumId w:val="0"/>
  </w:num>
  <w:num w:numId="5">
    <w:abstractNumId w:val="1"/>
  </w:num>
  <w:num w:numId="6">
    <w:abstractNumId w:val="9"/>
  </w:num>
  <w:num w:numId="7">
    <w:abstractNumId w:val="4"/>
  </w:num>
  <w:num w:numId="8">
    <w:abstractNumId w:val="5"/>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hyphenationZone w:val="283"/>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1FA4"/>
    <w:rsid w:val="0000394D"/>
    <w:rsid w:val="000055B1"/>
    <w:rsid w:val="00005B70"/>
    <w:rsid w:val="000103E7"/>
    <w:rsid w:val="000130CA"/>
    <w:rsid w:val="00013FAD"/>
    <w:rsid w:val="00015431"/>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4CE"/>
    <w:rsid w:val="00046E3D"/>
    <w:rsid w:val="000563ED"/>
    <w:rsid w:val="000603D6"/>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5A14"/>
    <w:rsid w:val="000B65CB"/>
    <w:rsid w:val="000B780E"/>
    <w:rsid w:val="000C236D"/>
    <w:rsid w:val="000C2690"/>
    <w:rsid w:val="000C364E"/>
    <w:rsid w:val="000C4C70"/>
    <w:rsid w:val="000C5D4C"/>
    <w:rsid w:val="000C7FC7"/>
    <w:rsid w:val="000D18C5"/>
    <w:rsid w:val="000D21DB"/>
    <w:rsid w:val="000D2BF9"/>
    <w:rsid w:val="000D4366"/>
    <w:rsid w:val="000E1125"/>
    <w:rsid w:val="000E1993"/>
    <w:rsid w:val="000E3B8A"/>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3286"/>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326B"/>
    <w:rsid w:val="0019547D"/>
    <w:rsid w:val="00195E1F"/>
    <w:rsid w:val="00196645"/>
    <w:rsid w:val="00197997"/>
    <w:rsid w:val="001A384E"/>
    <w:rsid w:val="001A4015"/>
    <w:rsid w:val="001A6AFD"/>
    <w:rsid w:val="001B21A1"/>
    <w:rsid w:val="001B337C"/>
    <w:rsid w:val="001B4D45"/>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0CC2"/>
    <w:rsid w:val="001F31F0"/>
    <w:rsid w:val="001F3DF5"/>
    <w:rsid w:val="001F4346"/>
    <w:rsid w:val="001F6DA4"/>
    <w:rsid w:val="0020112F"/>
    <w:rsid w:val="00201FFE"/>
    <w:rsid w:val="00202C4B"/>
    <w:rsid w:val="00203B88"/>
    <w:rsid w:val="00204410"/>
    <w:rsid w:val="002052A2"/>
    <w:rsid w:val="00206380"/>
    <w:rsid w:val="002155FA"/>
    <w:rsid w:val="002176DE"/>
    <w:rsid w:val="002232D8"/>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7464F"/>
    <w:rsid w:val="00281718"/>
    <w:rsid w:val="00285147"/>
    <w:rsid w:val="002855D0"/>
    <w:rsid w:val="00290E18"/>
    <w:rsid w:val="00291D54"/>
    <w:rsid w:val="00293A6E"/>
    <w:rsid w:val="00297A88"/>
    <w:rsid w:val="002A12B6"/>
    <w:rsid w:val="002A3076"/>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51F8"/>
    <w:rsid w:val="00356BCC"/>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6CC"/>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132A"/>
    <w:rsid w:val="004B2B05"/>
    <w:rsid w:val="004B2BBA"/>
    <w:rsid w:val="004B54B9"/>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4704"/>
    <w:rsid w:val="004F557E"/>
    <w:rsid w:val="00501570"/>
    <w:rsid w:val="005017DA"/>
    <w:rsid w:val="00501E2B"/>
    <w:rsid w:val="0050411A"/>
    <w:rsid w:val="0050619E"/>
    <w:rsid w:val="005069E2"/>
    <w:rsid w:val="00506B0D"/>
    <w:rsid w:val="00506BCB"/>
    <w:rsid w:val="0051029C"/>
    <w:rsid w:val="005119F4"/>
    <w:rsid w:val="005146EB"/>
    <w:rsid w:val="00514ACA"/>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0030"/>
    <w:rsid w:val="00561349"/>
    <w:rsid w:val="005657FC"/>
    <w:rsid w:val="00567054"/>
    <w:rsid w:val="00567A9A"/>
    <w:rsid w:val="00570FEC"/>
    <w:rsid w:val="00571A8C"/>
    <w:rsid w:val="0057377D"/>
    <w:rsid w:val="00583496"/>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3D97"/>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6B3F"/>
    <w:rsid w:val="006503F8"/>
    <w:rsid w:val="00650D0F"/>
    <w:rsid w:val="00651856"/>
    <w:rsid w:val="006521E7"/>
    <w:rsid w:val="0065579F"/>
    <w:rsid w:val="00661CDB"/>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4FC1"/>
    <w:rsid w:val="006954BD"/>
    <w:rsid w:val="006978B2"/>
    <w:rsid w:val="00697DD7"/>
    <w:rsid w:val="006A451F"/>
    <w:rsid w:val="006A67C2"/>
    <w:rsid w:val="006A6A31"/>
    <w:rsid w:val="006B0BCD"/>
    <w:rsid w:val="006B0CBE"/>
    <w:rsid w:val="006B1969"/>
    <w:rsid w:val="006B2F1E"/>
    <w:rsid w:val="006B3DD7"/>
    <w:rsid w:val="006B48F1"/>
    <w:rsid w:val="006C2D21"/>
    <w:rsid w:val="006C5D02"/>
    <w:rsid w:val="006C60A2"/>
    <w:rsid w:val="006C6193"/>
    <w:rsid w:val="006D0533"/>
    <w:rsid w:val="006D436D"/>
    <w:rsid w:val="006D4D28"/>
    <w:rsid w:val="006D5430"/>
    <w:rsid w:val="006D63EF"/>
    <w:rsid w:val="006D7C19"/>
    <w:rsid w:val="006D7CA8"/>
    <w:rsid w:val="006E0E9C"/>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38C"/>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6CDD"/>
    <w:rsid w:val="00736FEF"/>
    <w:rsid w:val="00737516"/>
    <w:rsid w:val="00741230"/>
    <w:rsid w:val="007414E3"/>
    <w:rsid w:val="0074310F"/>
    <w:rsid w:val="00745C1D"/>
    <w:rsid w:val="00746271"/>
    <w:rsid w:val="007517C3"/>
    <w:rsid w:val="00751B2A"/>
    <w:rsid w:val="00751F23"/>
    <w:rsid w:val="0075278C"/>
    <w:rsid w:val="00752C9E"/>
    <w:rsid w:val="007553E4"/>
    <w:rsid w:val="007573D2"/>
    <w:rsid w:val="007577AC"/>
    <w:rsid w:val="00760C49"/>
    <w:rsid w:val="007626A2"/>
    <w:rsid w:val="007651F0"/>
    <w:rsid w:val="00765D32"/>
    <w:rsid w:val="007705A1"/>
    <w:rsid w:val="007709C5"/>
    <w:rsid w:val="00770F43"/>
    <w:rsid w:val="00771468"/>
    <w:rsid w:val="007719AC"/>
    <w:rsid w:val="00773686"/>
    <w:rsid w:val="00774FD6"/>
    <w:rsid w:val="00776AD0"/>
    <w:rsid w:val="00780871"/>
    <w:rsid w:val="00787A57"/>
    <w:rsid w:val="00787B7D"/>
    <w:rsid w:val="00792D48"/>
    <w:rsid w:val="00793203"/>
    <w:rsid w:val="00794677"/>
    <w:rsid w:val="00795931"/>
    <w:rsid w:val="00796A2A"/>
    <w:rsid w:val="007A053E"/>
    <w:rsid w:val="007A2A69"/>
    <w:rsid w:val="007A527C"/>
    <w:rsid w:val="007A6821"/>
    <w:rsid w:val="007B055F"/>
    <w:rsid w:val="007B0BAC"/>
    <w:rsid w:val="007B3EE9"/>
    <w:rsid w:val="007B4B41"/>
    <w:rsid w:val="007B6028"/>
    <w:rsid w:val="007C0BA7"/>
    <w:rsid w:val="007C33E4"/>
    <w:rsid w:val="007C41B3"/>
    <w:rsid w:val="007C44F4"/>
    <w:rsid w:val="007C6590"/>
    <w:rsid w:val="007D2587"/>
    <w:rsid w:val="007D36F2"/>
    <w:rsid w:val="007D5A25"/>
    <w:rsid w:val="007E0F24"/>
    <w:rsid w:val="007E17B1"/>
    <w:rsid w:val="007E27C0"/>
    <w:rsid w:val="007E3255"/>
    <w:rsid w:val="007E4716"/>
    <w:rsid w:val="007E6E32"/>
    <w:rsid w:val="007E771D"/>
    <w:rsid w:val="007F3DA7"/>
    <w:rsid w:val="007F4203"/>
    <w:rsid w:val="007F502E"/>
    <w:rsid w:val="007F65F6"/>
    <w:rsid w:val="007F6A42"/>
    <w:rsid w:val="007F6D94"/>
    <w:rsid w:val="00800EFC"/>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725C"/>
    <w:rsid w:val="008C0A13"/>
    <w:rsid w:val="008C1D6D"/>
    <w:rsid w:val="008C3F98"/>
    <w:rsid w:val="008C594A"/>
    <w:rsid w:val="008C689F"/>
    <w:rsid w:val="008D1DAC"/>
    <w:rsid w:val="008D23AF"/>
    <w:rsid w:val="008D3A05"/>
    <w:rsid w:val="008D3E0C"/>
    <w:rsid w:val="008D681A"/>
    <w:rsid w:val="008D6B1A"/>
    <w:rsid w:val="008D6D38"/>
    <w:rsid w:val="008E0617"/>
    <w:rsid w:val="008E5B71"/>
    <w:rsid w:val="008E705E"/>
    <w:rsid w:val="008F0796"/>
    <w:rsid w:val="008F2453"/>
    <w:rsid w:val="008F34E9"/>
    <w:rsid w:val="00902833"/>
    <w:rsid w:val="009039E2"/>
    <w:rsid w:val="0091196A"/>
    <w:rsid w:val="00911DC9"/>
    <w:rsid w:val="009123FF"/>
    <w:rsid w:val="009164CD"/>
    <w:rsid w:val="00916C40"/>
    <w:rsid w:val="00917271"/>
    <w:rsid w:val="0091740C"/>
    <w:rsid w:val="00922A9F"/>
    <w:rsid w:val="00922F87"/>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0F5E"/>
    <w:rsid w:val="00991070"/>
    <w:rsid w:val="00992DCD"/>
    <w:rsid w:val="00994702"/>
    <w:rsid w:val="009958CE"/>
    <w:rsid w:val="00996E62"/>
    <w:rsid w:val="00997875"/>
    <w:rsid w:val="00997D39"/>
    <w:rsid w:val="00997FD5"/>
    <w:rsid w:val="009A1CA8"/>
    <w:rsid w:val="009A405A"/>
    <w:rsid w:val="009A5082"/>
    <w:rsid w:val="009A618E"/>
    <w:rsid w:val="009B05B0"/>
    <w:rsid w:val="009B155B"/>
    <w:rsid w:val="009B183F"/>
    <w:rsid w:val="009B1F5B"/>
    <w:rsid w:val="009B3DB8"/>
    <w:rsid w:val="009B4769"/>
    <w:rsid w:val="009B5BB5"/>
    <w:rsid w:val="009C2086"/>
    <w:rsid w:val="009C3006"/>
    <w:rsid w:val="009C7D32"/>
    <w:rsid w:val="009D159F"/>
    <w:rsid w:val="009D2A16"/>
    <w:rsid w:val="009D6952"/>
    <w:rsid w:val="009D7F9A"/>
    <w:rsid w:val="009E068F"/>
    <w:rsid w:val="009E1B89"/>
    <w:rsid w:val="009E56AF"/>
    <w:rsid w:val="009E619C"/>
    <w:rsid w:val="009E7020"/>
    <w:rsid w:val="009E7045"/>
    <w:rsid w:val="009E748B"/>
    <w:rsid w:val="009F2244"/>
    <w:rsid w:val="009F3D12"/>
    <w:rsid w:val="00A03D3F"/>
    <w:rsid w:val="00A04BEB"/>
    <w:rsid w:val="00A04DE2"/>
    <w:rsid w:val="00A11A20"/>
    <w:rsid w:val="00A11DFB"/>
    <w:rsid w:val="00A11F1E"/>
    <w:rsid w:val="00A14BA5"/>
    <w:rsid w:val="00A156E9"/>
    <w:rsid w:val="00A15C80"/>
    <w:rsid w:val="00A15DA4"/>
    <w:rsid w:val="00A175F8"/>
    <w:rsid w:val="00A20607"/>
    <w:rsid w:val="00A20D0F"/>
    <w:rsid w:val="00A21FEA"/>
    <w:rsid w:val="00A22250"/>
    <w:rsid w:val="00A2486B"/>
    <w:rsid w:val="00A25160"/>
    <w:rsid w:val="00A2769F"/>
    <w:rsid w:val="00A27E76"/>
    <w:rsid w:val="00A31A13"/>
    <w:rsid w:val="00A31A7B"/>
    <w:rsid w:val="00A323D7"/>
    <w:rsid w:val="00A32701"/>
    <w:rsid w:val="00A330EB"/>
    <w:rsid w:val="00A334CC"/>
    <w:rsid w:val="00A3389A"/>
    <w:rsid w:val="00A44BE1"/>
    <w:rsid w:val="00A4500D"/>
    <w:rsid w:val="00A504A8"/>
    <w:rsid w:val="00A542B8"/>
    <w:rsid w:val="00A54719"/>
    <w:rsid w:val="00A5709E"/>
    <w:rsid w:val="00A612B9"/>
    <w:rsid w:val="00A66B14"/>
    <w:rsid w:val="00A66CF8"/>
    <w:rsid w:val="00A727DA"/>
    <w:rsid w:val="00A73F1D"/>
    <w:rsid w:val="00A74F48"/>
    <w:rsid w:val="00A75123"/>
    <w:rsid w:val="00A756EC"/>
    <w:rsid w:val="00A815A9"/>
    <w:rsid w:val="00A81A3A"/>
    <w:rsid w:val="00A83E6C"/>
    <w:rsid w:val="00A84689"/>
    <w:rsid w:val="00A84D8D"/>
    <w:rsid w:val="00A854F8"/>
    <w:rsid w:val="00A865C8"/>
    <w:rsid w:val="00A900AE"/>
    <w:rsid w:val="00A9330E"/>
    <w:rsid w:val="00A93FD6"/>
    <w:rsid w:val="00A9447A"/>
    <w:rsid w:val="00A95040"/>
    <w:rsid w:val="00A95088"/>
    <w:rsid w:val="00A957EB"/>
    <w:rsid w:val="00A960AC"/>
    <w:rsid w:val="00AA3298"/>
    <w:rsid w:val="00AA41AA"/>
    <w:rsid w:val="00AA6892"/>
    <w:rsid w:val="00AA72CC"/>
    <w:rsid w:val="00AA76B7"/>
    <w:rsid w:val="00AA78B9"/>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4326"/>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14B"/>
    <w:rsid w:val="00B166C8"/>
    <w:rsid w:val="00B23604"/>
    <w:rsid w:val="00B243E6"/>
    <w:rsid w:val="00B2566A"/>
    <w:rsid w:val="00B2704A"/>
    <w:rsid w:val="00B36ED0"/>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723F3"/>
    <w:rsid w:val="00B82234"/>
    <w:rsid w:val="00B8229B"/>
    <w:rsid w:val="00B8283E"/>
    <w:rsid w:val="00B837AA"/>
    <w:rsid w:val="00B87D03"/>
    <w:rsid w:val="00B909E8"/>
    <w:rsid w:val="00B928EE"/>
    <w:rsid w:val="00B92AD5"/>
    <w:rsid w:val="00B94BA4"/>
    <w:rsid w:val="00B96674"/>
    <w:rsid w:val="00B97DB5"/>
    <w:rsid w:val="00BA0E08"/>
    <w:rsid w:val="00BA38C6"/>
    <w:rsid w:val="00BA6C3A"/>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790"/>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5DC8"/>
    <w:rsid w:val="00C3631B"/>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E6DD0"/>
    <w:rsid w:val="00CF0BAF"/>
    <w:rsid w:val="00CF18A3"/>
    <w:rsid w:val="00CF356A"/>
    <w:rsid w:val="00CF4A61"/>
    <w:rsid w:val="00CF569E"/>
    <w:rsid w:val="00D029CB"/>
    <w:rsid w:val="00D04274"/>
    <w:rsid w:val="00D05A8B"/>
    <w:rsid w:val="00D06659"/>
    <w:rsid w:val="00D0699D"/>
    <w:rsid w:val="00D1447E"/>
    <w:rsid w:val="00D15E2D"/>
    <w:rsid w:val="00D164B7"/>
    <w:rsid w:val="00D1747A"/>
    <w:rsid w:val="00D17B3D"/>
    <w:rsid w:val="00D205D0"/>
    <w:rsid w:val="00D21306"/>
    <w:rsid w:val="00D2151A"/>
    <w:rsid w:val="00D22151"/>
    <w:rsid w:val="00D240AB"/>
    <w:rsid w:val="00D25CA2"/>
    <w:rsid w:val="00D26BCB"/>
    <w:rsid w:val="00D26CC6"/>
    <w:rsid w:val="00D275C6"/>
    <w:rsid w:val="00D27639"/>
    <w:rsid w:val="00D369E4"/>
    <w:rsid w:val="00D41A51"/>
    <w:rsid w:val="00D42DFD"/>
    <w:rsid w:val="00D446CA"/>
    <w:rsid w:val="00D45E14"/>
    <w:rsid w:val="00D4755C"/>
    <w:rsid w:val="00D50BCC"/>
    <w:rsid w:val="00D52834"/>
    <w:rsid w:val="00D544FE"/>
    <w:rsid w:val="00D5596F"/>
    <w:rsid w:val="00D55BA9"/>
    <w:rsid w:val="00D55BD4"/>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86E11"/>
    <w:rsid w:val="00D90CC5"/>
    <w:rsid w:val="00D92C6A"/>
    <w:rsid w:val="00D9302E"/>
    <w:rsid w:val="00D95330"/>
    <w:rsid w:val="00D960FD"/>
    <w:rsid w:val="00DA12AB"/>
    <w:rsid w:val="00DA43C0"/>
    <w:rsid w:val="00DA7973"/>
    <w:rsid w:val="00DB3689"/>
    <w:rsid w:val="00DB3767"/>
    <w:rsid w:val="00DB39E0"/>
    <w:rsid w:val="00DB7729"/>
    <w:rsid w:val="00DC0030"/>
    <w:rsid w:val="00DC12DC"/>
    <w:rsid w:val="00DC22BE"/>
    <w:rsid w:val="00DC5F62"/>
    <w:rsid w:val="00DC7FAF"/>
    <w:rsid w:val="00DD02BA"/>
    <w:rsid w:val="00DD100B"/>
    <w:rsid w:val="00DD42F9"/>
    <w:rsid w:val="00DE1B4A"/>
    <w:rsid w:val="00DE2CFF"/>
    <w:rsid w:val="00DE3330"/>
    <w:rsid w:val="00DE5939"/>
    <w:rsid w:val="00DF1884"/>
    <w:rsid w:val="00DF4CBC"/>
    <w:rsid w:val="00DF4CFE"/>
    <w:rsid w:val="00DF52CC"/>
    <w:rsid w:val="00DF5370"/>
    <w:rsid w:val="00E0032E"/>
    <w:rsid w:val="00E0205D"/>
    <w:rsid w:val="00E1018A"/>
    <w:rsid w:val="00E120F4"/>
    <w:rsid w:val="00E153F6"/>
    <w:rsid w:val="00E15F7E"/>
    <w:rsid w:val="00E173DF"/>
    <w:rsid w:val="00E25DCB"/>
    <w:rsid w:val="00E27FC2"/>
    <w:rsid w:val="00E31912"/>
    <w:rsid w:val="00E31B60"/>
    <w:rsid w:val="00E34D88"/>
    <w:rsid w:val="00E353DB"/>
    <w:rsid w:val="00E36375"/>
    <w:rsid w:val="00E40D48"/>
    <w:rsid w:val="00E40DBF"/>
    <w:rsid w:val="00E42C98"/>
    <w:rsid w:val="00E4378E"/>
    <w:rsid w:val="00E43798"/>
    <w:rsid w:val="00E43842"/>
    <w:rsid w:val="00E468CA"/>
    <w:rsid w:val="00E47CAE"/>
    <w:rsid w:val="00E47D3F"/>
    <w:rsid w:val="00E521EE"/>
    <w:rsid w:val="00E62B3D"/>
    <w:rsid w:val="00E6315A"/>
    <w:rsid w:val="00E63986"/>
    <w:rsid w:val="00E65554"/>
    <w:rsid w:val="00E65E86"/>
    <w:rsid w:val="00E66C3B"/>
    <w:rsid w:val="00E71B00"/>
    <w:rsid w:val="00E73C7F"/>
    <w:rsid w:val="00E740D9"/>
    <w:rsid w:val="00E768B0"/>
    <w:rsid w:val="00E80103"/>
    <w:rsid w:val="00E8224F"/>
    <w:rsid w:val="00E832E5"/>
    <w:rsid w:val="00E84809"/>
    <w:rsid w:val="00E853FB"/>
    <w:rsid w:val="00E85E3C"/>
    <w:rsid w:val="00E87D09"/>
    <w:rsid w:val="00E9340A"/>
    <w:rsid w:val="00E943EE"/>
    <w:rsid w:val="00EA0385"/>
    <w:rsid w:val="00EA3791"/>
    <w:rsid w:val="00EA4D0C"/>
    <w:rsid w:val="00EA4E53"/>
    <w:rsid w:val="00EA6259"/>
    <w:rsid w:val="00EA63A0"/>
    <w:rsid w:val="00EA7720"/>
    <w:rsid w:val="00EA7F21"/>
    <w:rsid w:val="00EB1559"/>
    <w:rsid w:val="00EB1663"/>
    <w:rsid w:val="00EB3E7F"/>
    <w:rsid w:val="00EB4324"/>
    <w:rsid w:val="00EB4808"/>
    <w:rsid w:val="00EB6B41"/>
    <w:rsid w:val="00EB7739"/>
    <w:rsid w:val="00EC0017"/>
    <w:rsid w:val="00EC19D6"/>
    <w:rsid w:val="00EC1D1E"/>
    <w:rsid w:val="00EC201F"/>
    <w:rsid w:val="00EC40E3"/>
    <w:rsid w:val="00EC465B"/>
    <w:rsid w:val="00EC5A04"/>
    <w:rsid w:val="00EC7D8F"/>
    <w:rsid w:val="00EC7E1A"/>
    <w:rsid w:val="00ED09F7"/>
    <w:rsid w:val="00ED0F55"/>
    <w:rsid w:val="00ED15C7"/>
    <w:rsid w:val="00ED19D2"/>
    <w:rsid w:val="00ED2C71"/>
    <w:rsid w:val="00ED5032"/>
    <w:rsid w:val="00ED5270"/>
    <w:rsid w:val="00ED57A6"/>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979"/>
    <w:rsid w:val="00F12DA8"/>
    <w:rsid w:val="00F1322B"/>
    <w:rsid w:val="00F13699"/>
    <w:rsid w:val="00F16AB3"/>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283A"/>
    <w:rsid w:val="00F4307A"/>
    <w:rsid w:val="00F43D26"/>
    <w:rsid w:val="00F46B8B"/>
    <w:rsid w:val="00F47660"/>
    <w:rsid w:val="00F507DB"/>
    <w:rsid w:val="00F5236F"/>
    <w:rsid w:val="00F52C7A"/>
    <w:rsid w:val="00F544AB"/>
    <w:rsid w:val="00F5545B"/>
    <w:rsid w:val="00F554A3"/>
    <w:rsid w:val="00F5653F"/>
    <w:rsid w:val="00F56A1B"/>
    <w:rsid w:val="00F6079F"/>
    <w:rsid w:val="00F64EA5"/>
    <w:rsid w:val="00F653C9"/>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6DB"/>
    <w:rsid w:val="00F96BAD"/>
    <w:rsid w:val="00FA34B5"/>
    <w:rsid w:val="00FB0158"/>
    <w:rsid w:val="00FB06CF"/>
    <w:rsid w:val="00FB16BC"/>
    <w:rsid w:val="00FB25A0"/>
    <w:rsid w:val="00FB2B68"/>
    <w:rsid w:val="00FB2D7C"/>
    <w:rsid w:val="00FB4F37"/>
    <w:rsid w:val="00FB79F1"/>
    <w:rsid w:val="00FB7E5A"/>
    <w:rsid w:val="00FC1636"/>
    <w:rsid w:val="00FC6E54"/>
    <w:rsid w:val="00FD1379"/>
    <w:rsid w:val="00FD33A2"/>
    <w:rsid w:val="00FD6206"/>
    <w:rsid w:val="00FD68CE"/>
    <w:rsid w:val="00FE09E7"/>
    <w:rsid w:val="00FE14B4"/>
    <w:rsid w:val="00FE2161"/>
    <w:rsid w:val="00FE58B6"/>
    <w:rsid w:val="00FE7430"/>
    <w:rsid w:val="00FF0471"/>
    <w:rsid w:val="00FF0771"/>
    <w:rsid w:val="00FF0AAD"/>
    <w:rsid w:val="00FF29CE"/>
    <w:rsid w:val="00FF2E7C"/>
    <w:rsid w:val="00FF33F4"/>
    <w:rsid w:val="00FF3FC8"/>
    <w:rsid w:val="00FF4579"/>
    <w:rsid w:val="01121B0D"/>
    <w:rsid w:val="0115479D"/>
    <w:rsid w:val="0119266A"/>
    <w:rsid w:val="01220C8D"/>
    <w:rsid w:val="012A658C"/>
    <w:rsid w:val="012E77FF"/>
    <w:rsid w:val="013F0921"/>
    <w:rsid w:val="01467E44"/>
    <w:rsid w:val="014720D7"/>
    <w:rsid w:val="015B4935"/>
    <w:rsid w:val="016429DB"/>
    <w:rsid w:val="01684136"/>
    <w:rsid w:val="01801810"/>
    <w:rsid w:val="01920CFB"/>
    <w:rsid w:val="01A07D75"/>
    <w:rsid w:val="01A760BA"/>
    <w:rsid w:val="01AE0F85"/>
    <w:rsid w:val="01BE1C23"/>
    <w:rsid w:val="01BE3551"/>
    <w:rsid w:val="01D80C62"/>
    <w:rsid w:val="01DA2C7E"/>
    <w:rsid w:val="01E231C3"/>
    <w:rsid w:val="01E54108"/>
    <w:rsid w:val="01F9707F"/>
    <w:rsid w:val="01FC0B35"/>
    <w:rsid w:val="02107794"/>
    <w:rsid w:val="022517B1"/>
    <w:rsid w:val="02353540"/>
    <w:rsid w:val="024961B6"/>
    <w:rsid w:val="024B2F59"/>
    <w:rsid w:val="024E797F"/>
    <w:rsid w:val="025007FF"/>
    <w:rsid w:val="026F05C4"/>
    <w:rsid w:val="027156CA"/>
    <w:rsid w:val="02722EEF"/>
    <w:rsid w:val="027A53E4"/>
    <w:rsid w:val="0284105B"/>
    <w:rsid w:val="028B3F52"/>
    <w:rsid w:val="029E6C26"/>
    <w:rsid w:val="02A325CE"/>
    <w:rsid w:val="02A91A9C"/>
    <w:rsid w:val="02BD04D3"/>
    <w:rsid w:val="02EB7260"/>
    <w:rsid w:val="02EC2724"/>
    <w:rsid w:val="02F82278"/>
    <w:rsid w:val="0306294B"/>
    <w:rsid w:val="030856B5"/>
    <w:rsid w:val="03144A80"/>
    <w:rsid w:val="03483D61"/>
    <w:rsid w:val="036C16D3"/>
    <w:rsid w:val="03A40019"/>
    <w:rsid w:val="03CD590F"/>
    <w:rsid w:val="03DA51ED"/>
    <w:rsid w:val="03F12073"/>
    <w:rsid w:val="03F429CA"/>
    <w:rsid w:val="03FD5B84"/>
    <w:rsid w:val="04015459"/>
    <w:rsid w:val="04043AF0"/>
    <w:rsid w:val="04163194"/>
    <w:rsid w:val="04183548"/>
    <w:rsid w:val="04220E33"/>
    <w:rsid w:val="043F4CF0"/>
    <w:rsid w:val="04405010"/>
    <w:rsid w:val="044A4632"/>
    <w:rsid w:val="0470165B"/>
    <w:rsid w:val="047051F8"/>
    <w:rsid w:val="047C40A0"/>
    <w:rsid w:val="04964617"/>
    <w:rsid w:val="049B3CAC"/>
    <w:rsid w:val="04AC3106"/>
    <w:rsid w:val="04BC19E9"/>
    <w:rsid w:val="04BD0D3B"/>
    <w:rsid w:val="04D72511"/>
    <w:rsid w:val="04E40096"/>
    <w:rsid w:val="050B4523"/>
    <w:rsid w:val="05156F18"/>
    <w:rsid w:val="052A77B8"/>
    <w:rsid w:val="05336C9F"/>
    <w:rsid w:val="053A41D7"/>
    <w:rsid w:val="053E6FB6"/>
    <w:rsid w:val="054A2E29"/>
    <w:rsid w:val="054F326F"/>
    <w:rsid w:val="05520213"/>
    <w:rsid w:val="05554798"/>
    <w:rsid w:val="0555503E"/>
    <w:rsid w:val="0559163B"/>
    <w:rsid w:val="057850B4"/>
    <w:rsid w:val="057F4B61"/>
    <w:rsid w:val="05903519"/>
    <w:rsid w:val="05911DC3"/>
    <w:rsid w:val="059A359D"/>
    <w:rsid w:val="05CA6867"/>
    <w:rsid w:val="05CE1556"/>
    <w:rsid w:val="05E711C0"/>
    <w:rsid w:val="05EB124D"/>
    <w:rsid w:val="05F30F26"/>
    <w:rsid w:val="05F325A0"/>
    <w:rsid w:val="06073396"/>
    <w:rsid w:val="06106FA7"/>
    <w:rsid w:val="06110B74"/>
    <w:rsid w:val="06141EEB"/>
    <w:rsid w:val="061C55C8"/>
    <w:rsid w:val="06354CFC"/>
    <w:rsid w:val="063A1B67"/>
    <w:rsid w:val="066736B7"/>
    <w:rsid w:val="067E7BC4"/>
    <w:rsid w:val="06852EB5"/>
    <w:rsid w:val="06A42770"/>
    <w:rsid w:val="06A51265"/>
    <w:rsid w:val="06CE77CF"/>
    <w:rsid w:val="06E67DFE"/>
    <w:rsid w:val="06ED549B"/>
    <w:rsid w:val="07037147"/>
    <w:rsid w:val="07136C0C"/>
    <w:rsid w:val="07145EFD"/>
    <w:rsid w:val="07185631"/>
    <w:rsid w:val="07283DE5"/>
    <w:rsid w:val="072A39F4"/>
    <w:rsid w:val="07300303"/>
    <w:rsid w:val="07316522"/>
    <w:rsid w:val="0745486E"/>
    <w:rsid w:val="07561956"/>
    <w:rsid w:val="075D7BBE"/>
    <w:rsid w:val="076F5357"/>
    <w:rsid w:val="07867F6D"/>
    <w:rsid w:val="078C18E6"/>
    <w:rsid w:val="078E330A"/>
    <w:rsid w:val="079B5930"/>
    <w:rsid w:val="07C80B9F"/>
    <w:rsid w:val="07D2096B"/>
    <w:rsid w:val="07EC6039"/>
    <w:rsid w:val="07F21817"/>
    <w:rsid w:val="07FA109D"/>
    <w:rsid w:val="08022308"/>
    <w:rsid w:val="08136D69"/>
    <w:rsid w:val="081D6DEB"/>
    <w:rsid w:val="082F14C0"/>
    <w:rsid w:val="08363D32"/>
    <w:rsid w:val="084E4ABC"/>
    <w:rsid w:val="084F0CD3"/>
    <w:rsid w:val="08587886"/>
    <w:rsid w:val="086B35B6"/>
    <w:rsid w:val="088D5D8F"/>
    <w:rsid w:val="08A32A30"/>
    <w:rsid w:val="08D4789D"/>
    <w:rsid w:val="08DD6DF4"/>
    <w:rsid w:val="08DF5677"/>
    <w:rsid w:val="08EB3B1C"/>
    <w:rsid w:val="08F45019"/>
    <w:rsid w:val="08F4603A"/>
    <w:rsid w:val="090F68F5"/>
    <w:rsid w:val="092B1D34"/>
    <w:rsid w:val="092F1D5F"/>
    <w:rsid w:val="094C24F7"/>
    <w:rsid w:val="09611053"/>
    <w:rsid w:val="09690BD7"/>
    <w:rsid w:val="096E34B0"/>
    <w:rsid w:val="098022E3"/>
    <w:rsid w:val="09843CD9"/>
    <w:rsid w:val="0985732B"/>
    <w:rsid w:val="09953139"/>
    <w:rsid w:val="09AD1215"/>
    <w:rsid w:val="09C42305"/>
    <w:rsid w:val="09D2460E"/>
    <w:rsid w:val="09DD1DE8"/>
    <w:rsid w:val="09E06D6F"/>
    <w:rsid w:val="09EF6D84"/>
    <w:rsid w:val="09F34981"/>
    <w:rsid w:val="0A047B3E"/>
    <w:rsid w:val="0A0D684B"/>
    <w:rsid w:val="0A0F6354"/>
    <w:rsid w:val="0A10283B"/>
    <w:rsid w:val="0A1513F1"/>
    <w:rsid w:val="0A376299"/>
    <w:rsid w:val="0A39193C"/>
    <w:rsid w:val="0A3A3968"/>
    <w:rsid w:val="0A3D4DCE"/>
    <w:rsid w:val="0A536AD5"/>
    <w:rsid w:val="0A537694"/>
    <w:rsid w:val="0A6414A8"/>
    <w:rsid w:val="0A6620C4"/>
    <w:rsid w:val="0A69437D"/>
    <w:rsid w:val="0AA963C1"/>
    <w:rsid w:val="0AAD201C"/>
    <w:rsid w:val="0AC05B6F"/>
    <w:rsid w:val="0ADA0F67"/>
    <w:rsid w:val="0ADB3C36"/>
    <w:rsid w:val="0AED052A"/>
    <w:rsid w:val="0B2E1D9D"/>
    <w:rsid w:val="0B384E20"/>
    <w:rsid w:val="0B460582"/>
    <w:rsid w:val="0B6F64BF"/>
    <w:rsid w:val="0B821AAD"/>
    <w:rsid w:val="0B834380"/>
    <w:rsid w:val="0B8F6944"/>
    <w:rsid w:val="0B9161E5"/>
    <w:rsid w:val="0B9336FE"/>
    <w:rsid w:val="0B99401B"/>
    <w:rsid w:val="0B9F4CB1"/>
    <w:rsid w:val="0BB10879"/>
    <w:rsid w:val="0BB95BBD"/>
    <w:rsid w:val="0BBF2770"/>
    <w:rsid w:val="0BFA0547"/>
    <w:rsid w:val="0C0D4D3A"/>
    <w:rsid w:val="0C1158B4"/>
    <w:rsid w:val="0C4F7944"/>
    <w:rsid w:val="0C5061F2"/>
    <w:rsid w:val="0C6246D8"/>
    <w:rsid w:val="0C6B0BEF"/>
    <w:rsid w:val="0C98504D"/>
    <w:rsid w:val="0CCB3B38"/>
    <w:rsid w:val="0CCE1C85"/>
    <w:rsid w:val="0CEB4508"/>
    <w:rsid w:val="0D1024EE"/>
    <w:rsid w:val="0D1518B5"/>
    <w:rsid w:val="0D1604C4"/>
    <w:rsid w:val="0D191456"/>
    <w:rsid w:val="0D225F51"/>
    <w:rsid w:val="0D466677"/>
    <w:rsid w:val="0D4C045D"/>
    <w:rsid w:val="0D604A63"/>
    <w:rsid w:val="0D640736"/>
    <w:rsid w:val="0D757FDE"/>
    <w:rsid w:val="0D845770"/>
    <w:rsid w:val="0D877004"/>
    <w:rsid w:val="0D89272A"/>
    <w:rsid w:val="0D8B31D5"/>
    <w:rsid w:val="0D960A55"/>
    <w:rsid w:val="0DB81282"/>
    <w:rsid w:val="0DB96D1D"/>
    <w:rsid w:val="0DE14688"/>
    <w:rsid w:val="0DE35839"/>
    <w:rsid w:val="0DEE4318"/>
    <w:rsid w:val="0DFB3916"/>
    <w:rsid w:val="0E1D6DD4"/>
    <w:rsid w:val="0E241BE5"/>
    <w:rsid w:val="0E2F6C17"/>
    <w:rsid w:val="0E3D282B"/>
    <w:rsid w:val="0E3F3320"/>
    <w:rsid w:val="0E403BE0"/>
    <w:rsid w:val="0E5A191B"/>
    <w:rsid w:val="0E5C17B6"/>
    <w:rsid w:val="0E741C25"/>
    <w:rsid w:val="0E7E1575"/>
    <w:rsid w:val="0E9C51B8"/>
    <w:rsid w:val="0EC718A1"/>
    <w:rsid w:val="0EC93AF3"/>
    <w:rsid w:val="0ECA154F"/>
    <w:rsid w:val="0ECB2E9B"/>
    <w:rsid w:val="0EE50B62"/>
    <w:rsid w:val="0EE90D85"/>
    <w:rsid w:val="0EF22955"/>
    <w:rsid w:val="0EF75AEA"/>
    <w:rsid w:val="0F055308"/>
    <w:rsid w:val="0F1873D8"/>
    <w:rsid w:val="0F267550"/>
    <w:rsid w:val="0F2E26B0"/>
    <w:rsid w:val="0F5C2582"/>
    <w:rsid w:val="0F730E3B"/>
    <w:rsid w:val="0F754061"/>
    <w:rsid w:val="0F7A1A02"/>
    <w:rsid w:val="0F82496D"/>
    <w:rsid w:val="0F864149"/>
    <w:rsid w:val="0F873081"/>
    <w:rsid w:val="0F924692"/>
    <w:rsid w:val="0FA046D7"/>
    <w:rsid w:val="0FA05C02"/>
    <w:rsid w:val="0FA178AE"/>
    <w:rsid w:val="0FB66C01"/>
    <w:rsid w:val="0FB676FE"/>
    <w:rsid w:val="0FCB50D6"/>
    <w:rsid w:val="0FD76E03"/>
    <w:rsid w:val="0FD81C0E"/>
    <w:rsid w:val="0FEB7BA8"/>
    <w:rsid w:val="0FFD1F6E"/>
    <w:rsid w:val="100E53D0"/>
    <w:rsid w:val="10121B18"/>
    <w:rsid w:val="101A749F"/>
    <w:rsid w:val="10232521"/>
    <w:rsid w:val="10267530"/>
    <w:rsid w:val="10585370"/>
    <w:rsid w:val="10604269"/>
    <w:rsid w:val="1068531A"/>
    <w:rsid w:val="106F1F13"/>
    <w:rsid w:val="108173AC"/>
    <w:rsid w:val="1099745D"/>
    <w:rsid w:val="10A01871"/>
    <w:rsid w:val="10A4002B"/>
    <w:rsid w:val="10A728E2"/>
    <w:rsid w:val="10AB13DE"/>
    <w:rsid w:val="10B04BE3"/>
    <w:rsid w:val="10BD552B"/>
    <w:rsid w:val="10C158F3"/>
    <w:rsid w:val="10C237FD"/>
    <w:rsid w:val="10C552EB"/>
    <w:rsid w:val="10CF2BFC"/>
    <w:rsid w:val="10DD717B"/>
    <w:rsid w:val="10ED087B"/>
    <w:rsid w:val="10F919F4"/>
    <w:rsid w:val="10FA112C"/>
    <w:rsid w:val="11145AFD"/>
    <w:rsid w:val="111D67D5"/>
    <w:rsid w:val="11220330"/>
    <w:rsid w:val="11284041"/>
    <w:rsid w:val="11316A37"/>
    <w:rsid w:val="11345918"/>
    <w:rsid w:val="11441E0B"/>
    <w:rsid w:val="114A3B0C"/>
    <w:rsid w:val="11514C9D"/>
    <w:rsid w:val="116A5D20"/>
    <w:rsid w:val="11822BF1"/>
    <w:rsid w:val="1186332F"/>
    <w:rsid w:val="11945F44"/>
    <w:rsid w:val="119D30E7"/>
    <w:rsid w:val="11B51851"/>
    <w:rsid w:val="11C42B8A"/>
    <w:rsid w:val="11CB3D82"/>
    <w:rsid w:val="11CC1C71"/>
    <w:rsid w:val="11CF681B"/>
    <w:rsid w:val="11DA42EC"/>
    <w:rsid w:val="11E116A4"/>
    <w:rsid w:val="11E86BA6"/>
    <w:rsid w:val="11EA29FC"/>
    <w:rsid w:val="12000FBF"/>
    <w:rsid w:val="120643F2"/>
    <w:rsid w:val="122E46A4"/>
    <w:rsid w:val="12373303"/>
    <w:rsid w:val="124972C5"/>
    <w:rsid w:val="124A5595"/>
    <w:rsid w:val="124B19D1"/>
    <w:rsid w:val="12633964"/>
    <w:rsid w:val="12665E43"/>
    <w:rsid w:val="12714363"/>
    <w:rsid w:val="128501CF"/>
    <w:rsid w:val="129E3D15"/>
    <w:rsid w:val="12A3271E"/>
    <w:rsid w:val="12AA7E27"/>
    <w:rsid w:val="12B9638F"/>
    <w:rsid w:val="12BC7518"/>
    <w:rsid w:val="12C05826"/>
    <w:rsid w:val="12E13C05"/>
    <w:rsid w:val="12E50DFA"/>
    <w:rsid w:val="12F37D5E"/>
    <w:rsid w:val="13053EAA"/>
    <w:rsid w:val="13072034"/>
    <w:rsid w:val="130C31A3"/>
    <w:rsid w:val="130D7690"/>
    <w:rsid w:val="13160788"/>
    <w:rsid w:val="131F1185"/>
    <w:rsid w:val="1320080C"/>
    <w:rsid w:val="132C0647"/>
    <w:rsid w:val="133326FD"/>
    <w:rsid w:val="13471059"/>
    <w:rsid w:val="134C53E7"/>
    <w:rsid w:val="135F2BEB"/>
    <w:rsid w:val="136A78B1"/>
    <w:rsid w:val="138700B8"/>
    <w:rsid w:val="138820D3"/>
    <w:rsid w:val="13A97E7F"/>
    <w:rsid w:val="13AA6652"/>
    <w:rsid w:val="13B336BA"/>
    <w:rsid w:val="13C75B10"/>
    <w:rsid w:val="13C94E58"/>
    <w:rsid w:val="13CE2EBA"/>
    <w:rsid w:val="13E04986"/>
    <w:rsid w:val="13ED19F5"/>
    <w:rsid w:val="13FD5C8B"/>
    <w:rsid w:val="13FF639C"/>
    <w:rsid w:val="14091892"/>
    <w:rsid w:val="140C033D"/>
    <w:rsid w:val="140C0856"/>
    <w:rsid w:val="140C239A"/>
    <w:rsid w:val="14126B5B"/>
    <w:rsid w:val="142B7F16"/>
    <w:rsid w:val="14361A56"/>
    <w:rsid w:val="145A4EEB"/>
    <w:rsid w:val="145E4DCA"/>
    <w:rsid w:val="146F0A17"/>
    <w:rsid w:val="14794A84"/>
    <w:rsid w:val="147E5FB0"/>
    <w:rsid w:val="14805B25"/>
    <w:rsid w:val="148C25FE"/>
    <w:rsid w:val="14A62B3B"/>
    <w:rsid w:val="14AF713E"/>
    <w:rsid w:val="14C361CE"/>
    <w:rsid w:val="14CC3FA5"/>
    <w:rsid w:val="14CD54D9"/>
    <w:rsid w:val="14D1619D"/>
    <w:rsid w:val="14D33226"/>
    <w:rsid w:val="14DD3DDC"/>
    <w:rsid w:val="14FC2ABA"/>
    <w:rsid w:val="14FC2BCB"/>
    <w:rsid w:val="15012F8A"/>
    <w:rsid w:val="15067BE2"/>
    <w:rsid w:val="150832AB"/>
    <w:rsid w:val="151A35CD"/>
    <w:rsid w:val="151F4ED6"/>
    <w:rsid w:val="152B2F29"/>
    <w:rsid w:val="152B5A2C"/>
    <w:rsid w:val="15305809"/>
    <w:rsid w:val="1547420B"/>
    <w:rsid w:val="1561258C"/>
    <w:rsid w:val="15661B62"/>
    <w:rsid w:val="1571584D"/>
    <w:rsid w:val="15757C7F"/>
    <w:rsid w:val="158C21FB"/>
    <w:rsid w:val="158F23BE"/>
    <w:rsid w:val="158F6029"/>
    <w:rsid w:val="159A297A"/>
    <w:rsid w:val="15BC6F6A"/>
    <w:rsid w:val="15C07475"/>
    <w:rsid w:val="15C64D6C"/>
    <w:rsid w:val="15CB0660"/>
    <w:rsid w:val="15DA5A5F"/>
    <w:rsid w:val="15E0473C"/>
    <w:rsid w:val="15E07012"/>
    <w:rsid w:val="15E7057F"/>
    <w:rsid w:val="15EA7E6B"/>
    <w:rsid w:val="16046EA3"/>
    <w:rsid w:val="16073B4E"/>
    <w:rsid w:val="16134982"/>
    <w:rsid w:val="16177225"/>
    <w:rsid w:val="161F0B96"/>
    <w:rsid w:val="16312702"/>
    <w:rsid w:val="163732DC"/>
    <w:rsid w:val="164E163A"/>
    <w:rsid w:val="165322A4"/>
    <w:rsid w:val="165C60D5"/>
    <w:rsid w:val="165E61EB"/>
    <w:rsid w:val="1666600F"/>
    <w:rsid w:val="166B1A97"/>
    <w:rsid w:val="16704DC8"/>
    <w:rsid w:val="167375B1"/>
    <w:rsid w:val="167C20D4"/>
    <w:rsid w:val="168B5E0A"/>
    <w:rsid w:val="16A343D1"/>
    <w:rsid w:val="16AF1CD4"/>
    <w:rsid w:val="16BD3E59"/>
    <w:rsid w:val="16C554F1"/>
    <w:rsid w:val="16DA1E55"/>
    <w:rsid w:val="16EB7D74"/>
    <w:rsid w:val="16EE6431"/>
    <w:rsid w:val="16F060AD"/>
    <w:rsid w:val="16F56478"/>
    <w:rsid w:val="16FB7E88"/>
    <w:rsid w:val="170468B8"/>
    <w:rsid w:val="170F53AD"/>
    <w:rsid w:val="171A11BE"/>
    <w:rsid w:val="17677A33"/>
    <w:rsid w:val="176F27D0"/>
    <w:rsid w:val="17AC16CF"/>
    <w:rsid w:val="17BD2F42"/>
    <w:rsid w:val="17DD4F07"/>
    <w:rsid w:val="17FB73DA"/>
    <w:rsid w:val="180A2B89"/>
    <w:rsid w:val="1817247C"/>
    <w:rsid w:val="182C2BB5"/>
    <w:rsid w:val="183160A6"/>
    <w:rsid w:val="18320839"/>
    <w:rsid w:val="1836062E"/>
    <w:rsid w:val="1839531D"/>
    <w:rsid w:val="183D74E3"/>
    <w:rsid w:val="1844401C"/>
    <w:rsid w:val="18640F54"/>
    <w:rsid w:val="186639F2"/>
    <w:rsid w:val="186A6079"/>
    <w:rsid w:val="187A6C32"/>
    <w:rsid w:val="188A6067"/>
    <w:rsid w:val="189013DB"/>
    <w:rsid w:val="18951D42"/>
    <w:rsid w:val="18951F82"/>
    <w:rsid w:val="18A42A68"/>
    <w:rsid w:val="18A9761C"/>
    <w:rsid w:val="18AE368E"/>
    <w:rsid w:val="18AF43E3"/>
    <w:rsid w:val="18C10FC1"/>
    <w:rsid w:val="18CB4677"/>
    <w:rsid w:val="18D957EA"/>
    <w:rsid w:val="18E2658C"/>
    <w:rsid w:val="18E97513"/>
    <w:rsid w:val="18F4078B"/>
    <w:rsid w:val="18F902B2"/>
    <w:rsid w:val="190000F7"/>
    <w:rsid w:val="19086633"/>
    <w:rsid w:val="190B1664"/>
    <w:rsid w:val="190B687B"/>
    <w:rsid w:val="192D50CF"/>
    <w:rsid w:val="194B6105"/>
    <w:rsid w:val="194D319A"/>
    <w:rsid w:val="195F5BD8"/>
    <w:rsid w:val="1968053B"/>
    <w:rsid w:val="197A39FD"/>
    <w:rsid w:val="19833378"/>
    <w:rsid w:val="19893E48"/>
    <w:rsid w:val="198E02B8"/>
    <w:rsid w:val="198F359B"/>
    <w:rsid w:val="19B11B9C"/>
    <w:rsid w:val="19F07F34"/>
    <w:rsid w:val="1A294B5D"/>
    <w:rsid w:val="1A452229"/>
    <w:rsid w:val="1A467C5E"/>
    <w:rsid w:val="1A50145F"/>
    <w:rsid w:val="1A626A23"/>
    <w:rsid w:val="1A662B5A"/>
    <w:rsid w:val="1A6F7727"/>
    <w:rsid w:val="1A705A15"/>
    <w:rsid w:val="1A7703C6"/>
    <w:rsid w:val="1A7924B6"/>
    <w:rsid w:val="1A822B20"/>
    <w:rsid w:val="1AA07E2E"/>
    <w:rsid w:val="1ABC4CE7"/>
    <w:rsid w:val="1AD76046"/>
    <w:rsid w:val="1AF02C28"/>
    <w:rsid w:val="1B033BBA"/>
    <w:rsid w:val="1B040905"/>
    <w:rsid w:val="1B2235A7"/>
    <w:rsid w:val="1B2866BC"/>
    <w:rsid w:val="1B3A6F96"/>
    <w:rsid w:val="1B4E21DF"/>
    <w:rsid w:val="1B517B0E"/>
    <w:rsid w:val="1B5B17F8"/>
    <w:rsid w:val="1B6110E2"/>
    <w:rsid w:val="1B663233"/>
    <w:rsid w:val="1B795138"/>
    <w:rsid w:val="1B7C0178"/>
    <w:rsid w:val="1B803BCC"/>
    <w:rsid w:val="1B9A6FE9"/>
    <w:rsid w:val="1BB12370"/>
    <w:rsid w:val="1BBB79CE"/>
    <w:rsid w:val="1BBE0C45"/>
    <w:rsid w:val="1BDF01B7"/>
    <w:rsid w:val="1BDF33BE"/>
    <w:rsid w:val="1BDF5E41"/>
    <w:rsid w:val="1BEB1380"/>
    <w:rsid w:val="1BFD3340"/>
    <w:rsid w:val="1C004829"/>
    <w:rsid w:val="1C1979BF"/>
    <w:rsid w:val="1C1E3930"/>
    <w:rsid w:val="1C2223AA"/>
    <w:rsid w:val="1C250F37"/>
    <w:rsid w:val="1C284EB6"/>
    <w:rsid w:val="1C316406"/>
    <w:rsid w:val="1C4F65A6"/>
    <w:rsid w:val="1C5435EC"/>
    <w:rsid w:val="1C56498B"/>
    <w:rsid w:val="1C62304B"/>
    <w:rsid w:val="1C743E4C"/>
    <w:rsid w:val="1C7765EA"/>
    <w:rsid w:val="1C776ACC"/>
    <w:rsid w:val="1C7B0E2F"/>
    <w:rsid w:val="1CB219F5"/>
    <w:rsid w:val="1CD17FFC"/>
    <w:rsid w:val="1CDA2CAC"/>
    <w:rsid w:val="1CE02590"/>
    <w:rsid w:val="1D06043B"/>
    <w:rsid w:val="1D0A4334"/>
    <w:rsid w:val="1D2B7DEB"/>
    <w:rsid w:val="1D3F5138"/>
    <w:rsid w:val="1D43286A"/>
    <w:rsid w:val="1D4605FC"/>
    <w:rsid w:val="1D4A3BEA"/>
    <w:rsid w:val="1D534BAD"/>
    <w:rsid w:val="1D5D37A7"/>
    <w:rsid w:val="1D652AB5"/>
    <w:rsid w:val="1D7C7B7E"/>
    <w:rsid w:val="1D9631E4"/>
    <w:rsid w:val="1DA9305B"/>
    <w:rsid w:val="1DA94C96"/>
    <w:rsid w:val="1DD833F1"/>
    <w:rsid w:val="1DE42F8D"/>
    <w:rsid w:val="1DFE29AD"/>
    <w:rsid w:val="1E0E4D29"/>
    <w:rsid w:val="1E281C51"/>
    <w:rsid w:val="1E3856C7"/>
    <w:rsid w:val="1E4C0642"/>
    <w:rsid w:val="1E580FAF"/>
    <w:rsid w:val="1E5B6458"/>
    <w:rsid w:val="1E5F3538"/>
    <w:rsid w:val="1E67301E"/>
    <w:rsid w:val="1E6D4A95"/>
    <w:rsid w:val="1E742D2F"/>
    <w:rsid w:val="1E82290C"/>
    <w:rsid w:val="1E8565E2"/>
    <w:rsid w:val="1E955C5E"/>
    <w:rsid w:val="1E961898"/>
    <w:rsid w:val="1EA459C6"/>
    <w:rsid w:val="1EA6006A"/>
    <w:rsid w:val="1EAD7CF5"/>
    <w:rsid w:val="1EC50ADA"/>
    <w:rsid w:val="1EC81026"/>
    <w:rsid w:val="1EC8795C"/>
    <w:rsid w:val="1ED3689D"/>
    <w:rsid w:val="1EE02E1C"/>
    <w:rsid w:val="1EE401DD"/>
    <w:rsid w:val="1EE4463D"/>
    <w:rsid w:val="1EF82968"/>
    <w:rsid w:val="1EFB78E2"/>
    <w:rsid w:val="1EFE207B"/>
    <w:rsid w:val="1F10309C"/>
    <w:rsid w:val="1F176015"/>
    <w:rsid w:val="1F216796"/>
    <w:rsid w:val="1F332AA3"/>
    <w:rsid w:val="1F37772E"/>
    <w:rsid w:val="1F3D4785"/>
    <w:rsid w:val="1F3E436C"/>
    <w:rsid w:val="1F673071"/>
    <w:rsid w:val="1F770B33"/>
    <w:rsid w:val="1F7E6C3A"/>
    <w:rsid w:val="1F8C3210"/>
    <w:rsid w:val="1FB16138"/>
    <w:rsid w:val="1FBD2381"/>
    <w:rsid w:val="1FE43905"/>
    <w:rsid w:val="1FF93661"/>
    <w:rsid w:val="1FFD3E24"/>
    <w:rsid w:val="2009677A"/>
    <w:rsid w:val="200C4924"/>
    <w:rsid w:val="20107EBE"/>
    <w:rsid w:val="20123960"/>
    <w:rsid w:val="201E502E"/>
    <w:rsid w:val="202C0514"/>
    <w:rsid w:val="20572AFF"/>
    <w:rsid w:val="2059029C"/>
    <w:rsid w:val="20762C32"/>
    <w:rsid w:val="20872117"/>
    <w:rsid w:val="208A24E5"/>
    <w:rsid w:val="20924205"/>
    <w:rsid w:val="20965F18"/>
    <w:rsid w:val="209A1225"/>
    <w:rsid w:val="20AA1926"/>
    <w:rsid w:val="20DA5A63"/>
    <w:rsid w:val="2125624C"/>
    <w:rsid w:val="21280F6B"/>
    <w:rsid w:val="213024CA"/>
    <w:rsid w:val="21331D84"/>
    <w:rsid w:val="21340ED3"/>
    <w:rsid w:val="213F3DB6"/>
    <w:rsid w:val="21514F8E"/>
    <w:rsid w:val="215339C7"/>
    <w:rsid w:val="215F41BB"/>
    <w:rsid w:val="21643B74"/>
    <w:rsid w:val="217A5ABE"/>
    <w:rsid w:val="2187694A"/>
    <w:rsid w:val="218A18D7"/>
    <w:rsid w:val="2192058C"/>
    <w:rsid w:val="21A237F5"/>
    <w:rsid w:val="21AE39BF"/>
    <w:rsid w:val="21C74635"/>
    <w:rsid w:val="21D558D2"/>
    <w:rsid w:val="21D64585"/>
    <w:rsid w:val="21DB3C5D"/>
    <w:rsid w:val="21E315ED"/>
    <w:rsid w:val="21E329CD"/>
    <w:rsid w:val="21E77C42"/>
    <w:rsid w:val="21EC47AD"/>
    <w:rsid w:val="22071574"/>
    <w:rsid w:val="221320BB"/>
    <w:rsid w:val="2230086B"/>
    <w:rsid w:val="227170DE"/>
    <w:rsid w:val="22892AB9"/>
    <w:rsid w:val="2292598E"/>
    <w:rsid w:val="229332FA"/>
    <w:rsid w:val="22993B09"/>
    <w:rsid w:val="229C0168"/>
    <w:rsid w:val="22B60ADA"/>
    <w:rsid w:val="22C20993"/>
    <w:rsid w:val="22DF5384"/>
    <w:rsid w:val="22E7365B"/>
    <w:rsid w:val="22FD2508"/>
    <w:rsid w:val="23071CC7"/>
    <w:rsid w:val="230C273D"/>
    <w:rsid w:val="23110005"/>
    <w:rsid w:val="23114136"/>
    <w:rsid w:val="232218C6"/>
    <w:rsid w:val="232A12F8"/>
    <w:rsid w:val="23397BEA"/>
    <w:rsid w:val="23440D7B"/>
    <w:rsid w:val="234B3D63"/>
    <w:rsid w:val="235814C3"/>
    <w:rsid w:val="2362243E"/>
    <w:rsid w:val="23670D22"/>
    <w:rsid w:val="23671BD3"/>
    <w:rsid w:val="2370491C"/>
    <w:rsid w:val="237D0BE2"/>
    <w:rsid w:val="237F2EB5"/>
    <w:rsid w:val="237F51B6"/>
    <w:rsid w:val="239F39A9"/>
    <w:rsid w:val="23A73102"/>
    <w:rsid w:val="23AD07A1"/>
    <w:rsid w:val="23AE0C37"/>
    <w:rsid w:val="23B15A4D"/>
    <w:rsid w:val="23B3431A"/>
    <w:rsid w:val="23BA05F7"/>
    <w:rsid w:val="23BC4F39"/>
    <w:rsid w:val="23C2424F"/>
    <w:rsid w:val="23C316AF"/>
    <w:rsid w:val="23DF13DF"/>
    <w:rsid w:val="23F40753"/>
    <w:rsid w:val="2408177C"/>
    <w:rsid w:val="24133C8E"/>
    <w:rsid w:val="241A19A0"/>
    <w:rsid w:val="241E7571"/>
    <w:rsid w:val="24367D6B"/>
    <w:rsid w:val="24386928"/>
    <w:rsid w:val="24396B56"/>
    <w:rsid w:val="2457173B"/>
    <w:rsid w:val="24614239"/>
    <w:rsid w:val="246B6751"/>
    <w:rsid w:val="247922D1"/>
    <w:rsid w:val="24807C32"/>
    <w:rsid w:val="248A3D02"/>
    <w:rsid w:val="2496714C"/>
    <w:rsid w:val="24AD5966"/>
    <w:rsid w:val="24B505FC"/>
    <w:rsid w:val="24BD1516"/>
    <w:rsid w:val="24BF65A3"/>
    <w:rsid w:val="24D7304A"/>
    <w:rsid w:val="24DA4B7A"/>
    <w:rsid w:val="24E56BB5"/>
    <w:rsid w:val="24EA4851"/>
    <w:rsid w:val="24F842F6"/>
    <w:rsid w:val="25005494"/>
    <w:rsid w:val="25012287"/>
    <w:rsid w:val="25033E46"/>
    <w:rsid w:val="25182782"/>
    <w:rsid w:val="251F6991"/>
    <w:rsid w:val="25385D54"/>
    <w:rsid w:val="253F57EC"/>
    <w:rsid w:val="254A112D"/>
    <w:rsid w:val="25670276"/>
    <w:rsid w:val="25735E4D"/>
    <w:rsid w:val="257C3A7F"/>
    <w:rsid w:val="257D0AB2"/>
    <w:rsid w:val="258676B9"/>
    <w:rsid w:val="25877506"/>
    <w:rsid w:val="25882D4F"/>
    <w:rsid w:val="259B589E"/>
    <w:rsid w:val="25A7436A"/>
    <w:rsid w:val="25AA266E"/>
    <w:rsid w:val="25C07910"/>
    <w:rsid w:val="25C35559"/>
    <w:rsid w:val="25CC4629"/>
    <w:rsid w:val="25D216E5"/>
    <w:rsid w:val="25D94021"/>
    <w:rsid w:val="25DB4909"/>
    <w:rsid w:val="25F326A9"/>
    <w:rsid w:val="25F41764"/>
    <w:rsid w:val="25F90410"/>
    <w:rsid w:val="26000508"/>
    <w:rsid w:val="26001C61"/>
    <w:rsid w:val="260B2902"/>
    <w:rsid w:val="261664A5"/>
    <w:rsid w:val="261B42FB"/>
    <w:rsid w:val="263A2FD0"/>
    <w:rsid w:val="263B066E"/>
    <w:rsid w:val="26421856"/>
    <w:rsid w:val="264F6681"/>
    <w:rsid w:val="26AC64C2"/>
    <w:rsid w:val="26BA0912"/>
    <w:rsid w:val="26BA6B22"/>
    <w:rsid w:val="26C87319"/>
    <w:rsid w:val="26CA2FF1"/>
    <w:rsid w:val="26CB7326"/>
    <w:rsid w:val="26CD1436"/>
    <w:rsid w:val="26D27532"/>
    <w:rsid w:val="26D67F55"/>
    <w:rsid w:val="26DB13C4"/>
    <w:rsid w:val="26E03188"/>
    <w:rsid w:val="26E513CA"/>
    <w:rsid w:val="26F24353"/>
    <w:rsid w:val="27010A95"/>
    <w:rsid w:val="27032D22"/>
    <w:rsid w:val="27061217"/>
    <w:rsid w:val="270F6726"/>
    <w:rsid w:val="27124C8D"/>
    <w:rsid w:val="272325CD"/>
    <w:rsid w:val="27255FB2"/>
    <w:rsid w:val="2729096E"/>
    <w:rsid w:val="27540A63"/>
    <w:rsid w:val="27577C96"/>
    <w:rsid w:val="276224B4"/>
    <w:rsid w:val="27735B67"/>
    <w:rsid w:val="2777605F"/>
    <w:rsid w:val="278C7441"/>
    <w:rsid w:val="2798193F"/>
    <w:rsid w:val="27A65C54"/>
    <w:rsid w:val="27B00E91"/>
    <w:rsid w:val="27B360EA"/>
    <w:rsid w:val="27B37802"/>
    <w:rsid w:val="27B450B3"/>
    <w:rsid w:val="27CB085E"/>
    <w:rsid w:val="27D22C81"/>
    <w:rsid w:val="27E107F8"/>
    <w:rsid w:val="27E926BA"/>
    <w:rsid w:val="27FC64E1"/>
    <w:rsid w:val="280726A9"/>
    <w:rsid w:val="28096E54"/>
    <w:rsid w:val="280E2B93"/>
    <w:rsid w:val="281E04B3"/>
    <w:rsid w:val="281E1970"/>
    <w:rsid w:val="28297520"/>
    <w:rsid w:val="28644BDA"/>
    <w:rsid w:val="286C07EF"/>
    <w:rsid w:val="287532FC"/>
    <w:rsid w:val="288708D9"/>
    <w:rsid w:val="288F4365"/>
    <w:rsid w:val="28913A74"/>
    <w:rsid w:val="28A05064"/>
    <w:rsid w:val="28B56343"/>
    <w:rsid w:val="28C456FF"/>
    <w:rsid w:val="28C56410"/>
    <w:rsid w:val="28E13A0E"/>
    <w:rsid w:val="28E72981"/>
    <w:rsid w:val="28E768E3"/>
    <w:rsid w:val="28E84C18"/>
    <w:rsid w:val="28EA2D58"/>
    <w:rsid w:val="291A48A1"/>
    <w:rsid w:val="29327671"/>
    <w:rsid w:val="29347F46"/>
    <w:rsid w:val="2944028B"/>
    <w:rsid w:val="294807AC"/>
    <w:rsid w:val="295608D2"/>
    <w:rsid w:val="29657897"/>
    <w:rsid w:val="296C33F1"/>
    <w:rsid w:val="2972750A"/>
    <w:rsid w:val="297A58BC"/>
    <w:rsid w:val="298D5DC6"/>
    <w:rsid w:val="29A467BB"/>
    <w:rsid w:val="29A53197"/>
    <w:rsid w:val="29AB7B8E"/>
    <w:rsid w:val="29C46FE0"/>
    <w:rsid w:val="29C979F5"/>
    <w:rsid w:val="29D26A74"/>
    <w:rsid w:val="29E8559B"/>
    <w:rsid w:val="2A0076B1"/>
    <w:rsid w:val="2A11602C"/>
    <w:rsid w:val="2A1C47DF"/>
    <w:rsid w:val="2A2103BB"/>
    <w:rsid w:val="2A212850"/>
    <w:rsid w:val="2A2F5161"/>
    <w:rsid w:val="2A342602"/>
    <w:rsid w:val="2A5D1D16"/>
    <w:rsid w:val="2A607E30"/>
    <w:rsid w:val="2A6C04A3"/>
    <w:rsid w:val="2A790A5F"/>
    <w:rsid w:val="2A7F277B"/>
    <w:rsid w:val="2AA700AB"/>
    <w:rsid w:val="2AB74F04"/>
    <w:rsid w:val="2ABA3FA5"/>
    <w:rsid w:val="2ABE5B0B"/>
    <w:rsid w:val="2AC745C3"/>
    <w:rsid w:val="2AD22E2C"/>
    <w:rsid w:val="2ADC2823"/>
    <w:rsid w:val="2ADE6F64"/>
    <w:rsid w:val="2AE0248A"/>
    <w:rsid w:val="2AF42A20"/>
    <w:rsid w:val="2B03167B"/>
    <w:rsid w:val="2B0608AD"/>
    <w:rsid w:val="2B097A52"/>
    <w:rsid w:val="2B260B86"/>
    <w:rsid w:val="2B3E6BBE"/>
    <w:rsid w:val="2B4748C0"/>
    <w:rsid w:val="2B4F7761"/>
    <w:rsid w:val="2B5268E5"/>
    <w:rsid w:val="2B601C6F"/>
    <w:rsid w:val="2B643E34"/>
    <w:rsid w:val="2B762F4B"/>
    <w:rsid w:val="2B7D5BA2"/>
    <w:rsid w:val="2B80231C"/>
    <w:rsid w:val="2B8A4D73"/>
    <w:rsid w:val="2B8C40B3"/>
    <w:rsid w:val="2B9A36EC"/>
    <w:rsid w:val="2BAC15E6"/>
    <w:rsid w:val="2BB8312D"/>
    <w:rsid w:val="2BBA18F7"/>
    <w:rsid w:val="2BC975AA"/>
    <w:rsid w:val="2BD66DB6"/>
    <w:rsid w:val="2BE0149C"/>
    <w:rsid w:val="2BE34592"/>
    <w:rsid w:val="2BF670D9"/>
    <w:rsid w:val="2BF97D2D"/>
    <w:rsid w:val="2C0F1382"/>
    <w:rsid w:val="2C1E2491"/>
    <w:rsid w:val="2C1F02EB"/>
    <w:rsid w:val="2C2807E0"/>
    <w:rsid w:val="2C32553A"/>
    <w:rsid w:val="2C332FBF"/>
    <w:rsid w:val="2C37477C"/>
    <w:rsid w:val="2C3A7333"/>
    <w:rsid w:val="2C692CDB"/>
    <w:rsid w:val="2C6F24DD"/>
    <w:rsid w:val="2C700FD9"/>
    <w:rsid w:val="2C71730F"/>
    <w:rsid w:val="2C89295F"/>
    <w:rsid w:val="2C93190F"/>
    <w:rsid w:val="2CA209EA"/>
    <w:rsid w:val="2CAB1132"/>
    <w:rsid w:val="2CB85021"/>
    <w:rsid w:val="2CC43B91"/>
    <w:rsid w:val="2CD04B02"/>
    <w:rsid w:val="2CD15050"/>
    <w:rsid w:val="2CDD0295"/>
    <w:rsid w:val="2CDD24DD"/>
    <w:rsid w:val="2CE447F6"/>
    <w:rsid w:val="2CEE2BB0"/>
    <w:rsid w:val="2CF53ACF"/>
    <w:rsid w:val="2CF743C3"/>
    <w:rsid w:val="2CFC1D0D"/>
    <w:rsid w:val="2CFF42F6"/>
    <w:rsid w:val="2D0817A2"/>
    <w:rsid w:val="2D0A62A0"/>
    <w:rsid w:val="2D261309"/>
    <w:rsid w:val="2D3C73A5"/>
    <w:rsid w:val="2D4F100C"/>
    <w:rsid w:val="2D7678FD"/>
    <w:rsid w:val="2D79591A"/>
    <w:rsid w:val="2D7F6F21"/>
    <w:rsid w:val="2D842D5F"/>
    <w:rsid w:val="2D883E09"/>
    <w:rsid w:val="2D977387"/>
    <w:rsid w:val="2DB670CD"/>
    <w:rsid w:val="2DC85043"/>
    <w:rsid w:val="2DCC3913"/>
    <w:rsid w:val="2DD910F7"/>
    <w:rsid w:val="2DE06F12"/>
    <w:rsid w:val="2DE6087C"/>
    <w:rsid w:val="2DF02FBE"/>
    <w:rsid w:val="2E0C4BA2"/>
    <w:rsid w:val="2E1A6BA3"/>
    <w:rsid w:val="2E1C3B55"/>
    <w:rsid w:val="2E244B92"/>
    <w:rsid w:val="2E24683F"/>
    <w:rsid w:val="2E2A333D"/>
    <w:rsid w:val="2E2B0CA0"/>
    <w:rsid w:val="2E301A69"/>
    <w:rsid w:val="2E662B9C"/>
    <w:rsid w:val="2E7E4256"/>
    <w:rsid w:val="2E9A6D55"/>
    <w:rsid w:val="2EB33044"/>
    <w:rsid w:val="2EBF61A7"/>
    <w:rsid w:val="2ED11E06"/>
    <w:rsid w:val="2EDE5E5D"/>
    <w:rsid w:val="2EDF365D"/>
    <w:rsid w:val="2EEB5412"/>
    <w:rsid w:val="2F0F7D20"/>
    <w:rsid w:val="2F186ACB"/>
    <w:rsid w:val="2F4A0160"/>
    <w:rsid w:val="2F4B0A0A"/>
    <w:rsid w:val="2F4B30E7"/>
    <w:rsid w:val="2F4C44DA"/>
    <w:rsid w:val="2F77697A"/>
    <w:rsid w:val="2F803643"/>
    <w:rsid w:val="2F874002"/>
    <w:rsid w:val="2FA03052"/>
    <w:rsid w:val="2FA14FCA"/>
    <w:rsid w:val="2FA8621C"/>
    <w:rsid w:val="2FAB4398"/>
    <w:rsid w:val="2FB3245D"/>
    <w:rsid w:val="2FE8301D"/>
    <w:rsid w:val="2FF05A84"/>
    <w:rsid w:val="2FFC240C"/>
    <w:rsid w:val="300C036C"/>
    <w:rsid w:val="300F6139"/>
    <w:rsid w:val="30126B49"/>
    <w:rsid w:val="30155EF9"/>
    <w:rsid w:val="30164EAC"/>
    <w:rsid w:val="30355C88"/>
    <w:rsid w:val="30393AD6"/>
    <w:rsid w:val="30457BB1"/>
    <w:rsid w:val="3059541C"/>
    <w:rsid w:val="30642132"/>
    <w:rsid w:val="306B6F59"/>
    <w:rsid w:val="306F42B0"/>
    <w:rsid w:val="30741183"/>
    <w:rsid w:val="308B2230"/>
    <w:rsid w:val="308F6792"/>
    <w:rsid w:val="309A20AF"/>
    <w:rsid w:val="30A73838"/>
    <w:rsid w:val="30C7653A"/>
    <w:rsid w:val="30CF4562"/>
    <w:rsid w:val="30D5140D"/>
    <w:rsid w:val="30D52E99"/>
    <w:rsid w:val="30DC2C06"/>
    <w:rsid w:val="30E26493"/>
    <w:rsid w:val="30ED29C5"/>
    <w:rsid w:val="310D575E"/>
    <w:rsid w:val="310F0D9B"/>
    <w:rsid w:val="311477DE"/>
    <w:rsid w:val="31165308"/>
    <w:rsid w:val="311A0D07"/>
    <w:rsid w:val="312D336E"/>
    <w:rsid w:val="312E2211"/>
    <w:rsid w:val="313D6DDD"/>
    <w:rsid w:val="31422270"/>
    <w:rsid w:val="314C598C"/>
    <w:rsid w:val="315D112A"/>
    <w:rsid w:val="316331F2"/>
    <w:rsid w:val="31833DF1"/>
    <w:rsid w:val="319350ED"/>
    <w:rsid w:val="31B055D8"/>
    <w:rsid w:val="31B77129"/>
    <w:rsid w:val="31BB3FC1"/>
    <w:rsid w:val="31C86DDB"/>
    <w:rsid w:val="31F40CB5"/>
    <w:rsid w:val="3200522E"/>
    <w:rsid w:val="322A03FD"/>
    <w:rsid w:val="32334D36"/>
    <w:rsid w:val="32335B78"/>
    <w:rsid w:val="324272E6"/>
    <w:rsid w:val="324D52D2"/>
    <w:rsid w:val="324E5C6D"/>
    <w:rsid w:val="32552718"/>
    <w:rsid w:val="32584B26"/>
    <w:rsid w:val="32657345"/>
    <w:rsid w:val="32733122"/>
    <w:rsid w:val="327A1339"/>
    <w:rsid w:val="327D6DF9"/>
    <w:rsid w:val="328B41F8"/>
    <w:rsid w:val="32963204"/>
    <w:rsid w:val="32A108DC"/>
    <w:rsid w:val="32A3035A"/>
    <w:rsid w:val="32B11043"/>
    <w:rsid w:val="32D173A3"/>
    <w:rsid w:val="32F75041"/>
    <w:rsid w:val="32F76A5A"/>
    <w:rsid w:val="32FC44AE"/>
    <w:rsid w:val="32FF2AC5"/>
    <w:rsid w:val="33050D26"/>
    <w:rsid w:val="33076595"/>
    <w:rsid w:val="330B60FD"/>
    <w:rsid w:val="3313076C"/>
    <w:rsid w:val="331B75A9"/>
    <w:rsid w:val="331E6BE0"/>
    <w:rsid w:val="332306D2"/>
    <w:rsid w:val="332930C0"/>
    <w:rsid w:val="332A74D3"/>
    <w:rsid w:val="33336B75"/>
    <w:rsid w:val="33452079"/>
    <w:rsid w:val="334B0C69"/>
    <w:rsid w:val="335B37E2"/>
    <w:rsid w:val="33671569"/>
    <w:rsid w:val="3370340E"/>
    <w:rsid w:val="33707BB8"/>
    <w:rsid w:val="33711277"/>
    <w:rsid w:val="3378083B"/>
    <w:rsid w:val="337A4A67"/>
    <w:rsid w:val="337F6C00"/>
    <w:rsid w:val="33902262"/>
    <w:rsid w:val="33A071CD"/>
    <w:rsid w:val="33A20CDC"/>
    <w:rsid w:val="33DB2BA2"/>
    <w:rsid w:val="33E07561"/>
    <w:rsid w:val="33E725D3"/>
    <w:rsid w:val="33F023F8"/>
    <w:rsid w:val="340659C1"/>
    <w:rsid w:val="341767CA"/>
    <w:rsid w:val="341960C5"/>
    <w:rsid w:val="34245633"/>
    <w:rsid w:val="344102C6"/>
    <w:rsid w:val="3467295E"/>
    <w:rsid w:val="34691D0C"/>
    <w:rsid w:val="3471750E"/>
    <w:rsid w:val="347959B1"/>
    <w:rsid w:val="347D6400"/>
    <w:rsid w:val="34DA0049"/>
    <w:rsid w:val="34E03D9F"/>
    <w:rsid w:val="34F047A6"/>
    <w:rsid w:val="350055A6"/>
    <w:rsid w:val="350A45EF"/>
    <w:rsid w:val="35167831"/>
    <w:rsid w:val="3517226A"/>
    <w:rsid w:val="351E711A"/>
    <w:rsid w:val="352E013B"/>
    <w:rsid w:val="35675F21"/>
    <w:rsid w:val="35690796"/>
    <w:rsid w:val="356C3655"/>
    <w:rsid w:val="35840800"/>
    <w:rsid w:val="358757CE"/>
    <w:rsid w:val="358E10CF"/>
    <w:rsid w:val="358E5B01"/>
    <w:rsid w:val="359B006F"/>
    <w:rsid w:val="359C1A07"/>
    <w:rsid w:val="35A068C9"/>
    <w:rsid w:val="35AC6216"/>
    <w:rsid w:val="35B40793"/>
    <w:rsid w:val="35CA6A0F"/>
    <w:rsid w:val="35D50BF3"/>
    <w:rsid w:val="35E05302"/>
    <w:rsid w:val="35E32932"/>
    <w:rsid w:val="35E51980"/>
    <w:rsid w:val="35E71B35"/>
    <w:rsid w:val="35EE2D25"/>
    <w:rsid w:val="35F5507D"/>
    <w:rsid w:val="360E6E30"/>
    <w:rsid w:val="361565B9"/>
    <w:rsid w:val="3653663E"/>
    <w:rsid w:val="36563B70"/>
    <w:rsid w:val="3658482E"/>
    <w:rsid w:val="36991081"/>
    <w:rsid w:val="36BC3900"/>
    <w:rsid w:val="36C84F9D"/>
    <w:rsid w:val="36DB0163"/>
    <w:rsid w:val="36E62FDB"/>
    <w:rsid w:val="37106CBE"/>
    <w:rsid w:val="372D48A4"/>
    <w:rsid w:val="3730482F"/>
    <w:rsid w:val="373F0568"/>
    <w:rsid w:val="37476CC0"/>
    <w:rsid w:val="37554C60"/>
    <w:rsid w:val="3763311C"/>
    <w:rsid w:val="377B01E2"/>
    <w:rsid w:val="37855284"/>
    <w:rsid w:val="37880CC0"/>
    <w:rsid w:val="37890224"/>
    <w:rsid w:val="3792078D"/>
    <w:rsid w:val="379749F4"/>
    <w:rsid w:val="37B03D73"/>
    <w:rsid w:val="37C41E5F"/>
    <w:rsid w:val="37C74A9E"/>
    <w:rsid w:val="37C85FE0"/>
    <w:rsid w:val="37DA1BFB"/>
    <w:rsid w:val="37E22980"/>
    <w:rsid w:val="37E605CA"/>
    <w:rsid w:val="37EB66DC"/>
    <w:rsid w:val="38104195"/>
    <w:rsid w:val="38145305"/>
    <w:rsid w:val="382C79AF"/>
    <w:rsid w:val="382F3E55"/>
    <w:rsid w:val="384B34AD"/>
    <w:rsid w:val="38573F2A"/>
    <w:rsid w:val="38575239"/>
    <w:rsid w:val="386B5D1F"/>
    <w:rsid w:val="386D7ABB"/>
    <w:rsid w:val="386E6E74"/>
    <w:rsid w:val="387B2C7D"/>
    <w:rsid w:val="387E6EF2"/>
    <w:rsid w:val="387F77C6"/>
    <w:rsid w:val="38863D6E"/>
    <w:rsid w:val="388D06A4"/>
    <w:rsid w:val="38A430A5"/>
    <w:rsid w:val="38A53B12"/>
    <w:rsid w:val="38A661DC"/>
    <w:rsid w:val="38B3345E"/>
    <w:rsid w:val="38B52F29"/>
    <w:rsid w:val="38C309BC"/>
    <w:rsid w:val="38D019A4"/>
    <w:rsid w:val="38E0659C"/>
    <w:rsid w:val="38E15506"/>
    <w:rsid w:val="38E256AA"/>
    <w:rsid w:val="38E70E41"/>
    <w:rsid w:val="391C123E"/>
    <w:rsid w:val="392B0C71"/>
    <w:rsid w:val="3947735A"/>
    <w:rsid w:val="39515384"/>
    <w:rsid w:val="395C264D"/>
    <w:rsid w:val="395E6C70"/>
    <w:rsid w:val="396F7EF8"/>
    <w:rsid w:val="397F5DBA"/>
    <w:rsid w:val="39826D87"/>
    <w:rsid w:val="399E3E5F"/>
    <w:rsid w:val="39A9467E"/>
    <w:rsid w:val="39BF34E2"/>
    <w:rsid w:val="39C631F4"/>
    <w:rsid w:val="39CE2A21"/>
    <w:rsid w:val="39D72D97"/>
    <w:rsid w:val="39D93158"/>
    <w:rsid w:val="39E70419"/>
    <w:rsid w:val="39FB182F"/>
    <w:rsid w:val="39FD1874"/>
    <w:rsid w:val="3A080CAA"/>
    <w:rsid w:val="3A0D732F"/>
    <w:rsid w:val="3A0D7DB0"/>
    <w:rsid w:val="3A1B6B05"/>
    <w:rsid w:val="3A250AFC"/>
    <w:rsid w:val="3A3826FC"/>
    <w:rsid w:val="3A3B79A2"/>
    <w:rsid w:val="3A4211CB"/>
    <w:rsid w:val="3A453030"/>
    <w:rsid w:val="3A594290"/>
    <w:rsid w:val="3A5C05E2"/>
    <w:rsid w:val="3A800267"/>
    <w:rsid w:val="3A8B3B36"/>
    <w:rsid w:val="3A915253"/>
    <w:rsid w:val="3AA6434E"/>
    <w:rsid w:val="3AB5664B"/>
    <w:rsid w:val="3AD54F51"/>
    <w:rsid w:val="3AEB7CC9"/>
    <w:rsid w:val="3B017043"/>
    <w:rsid w:val="3B027B40"/>
    <w:rsid w:val="3B1D4A02"/>
    <w:rsid w:val="3B23745F"/>
    <w:rsid w:val="3B454CE5"/>
    <w:rsid w:val="3B4E2272"/>
    <w:rsid w:val="3B717766"/>
    <w:rsid w:val="3B8840A3"/>
    <w:rsid w:val="3B907FE2"/>
    <w:rsid w:val="3B9E49F8"/>
    <w:rsid w:val="3B9E5F80"/>
    <w:rsid w:val="3BAD47E5"/>
    <w:rsid w:val="3BB4132F"/>
    <w:rsid w:val="3BB963C1"/>
    <w:rsid w:val="3BCB1266"/>
    <w:rsid w:val="3BD27691"/>
    <w:rsid w:val="3BDA4502"/>
    <w:rsid w:val="3BDF3A6D"/>
    <w:rsid w:val="3BE2129B"/>
    <w:rsid w:val="3BEE6C3E"/>
    <w:rsid w:val="3C007DFB"/>
    <w:rsid w:val="3C0D5C05"/>
    <w:rsid w:val="3C107A2A"/>
    <w:rsid w:val="3C1962E4"/>
    <w:rsid w:val="3C1B0432"/>
    <w:rsid w:val="3C355916"/>
    <w:rsid w:val="3C545ECC"/>
    <w:rsid w:val="3C656C34"/>
    <w:rsid w:val="3C7702C6"/>
    <w:rsid w:val="3C972DC4"/>
    <w:rsid w:val="3CAF751F"/>
    <w:rsid w:val="3CB23E81"/>
    <w:rsid w:val="3CB31CB8"/>
    <w:rsid w:val="3CBA5BB2"/>
    <w:rsid w:val="3CC679F7"/>
    <w:rsid w:val="3CC92302"/>
    <w:rsid w:val="3CFF3AFC"/>
    <w:rsid w:val="3D082DEF"/>
    <w:rsid w:val="3D2110F1"/>
    <w:rsid w:val="3D356DE3"/>
    <w:rsid w:val="3D3F06CB"/>
    <w:rsid w:val="3D426BF2"/>
    <w:rsid w:val="3D5C148E"/>
    <w:rsid w:val="3D5D02A1"/>
    <w:rsid w:val="3D69134E"/>
    <w:rsid w:val="3D6E3D1A"/>
    <w:rsid w:val="3D6E4E69"/>
    <w:rsid w:val="3D800647"/>
    <w:rsid w:val="3D941C30"/>
    <w:rsid w:val="3D9D655F"/>
    <w:rsid w:val="3DA019FE"/>
    <w:rsid w:val="3DA63503"/>
    <w:rsid w:val="3DCE57FC"/>
    <w:rsid w:val="3DD15D1C"/>
    <w:rsid w:val="3DFC5E51"/>
    <w:rsid w:val="3E0735EF"/>
    <w:rsid w:val="3E0A24FE"/>
    <w:rsid w:val="3E1A206C"/>
    <w:rsid w:val="3E20240D"/>
    <w:rsid w:val="3E3B439E"/>
    <w:rsid w:val="3E41182E"/>
    <w:rsid w:val="3E46792B"/>
    <w:rsid w:val="3E5C16C9"/>
    <w:rsid w:val="3E77543D"/>
    <w:rsid w:val="3E8658C7"/>
    <w:rsid w:val="3E9B50FA"/>
    <w:rsid w:val="3EA2675A"/>
    <w:rsid w:val="3EA4797A"/>
    <w:rsid w:val="3EB30FD8"/>
    <w:rsid w:val="3ECC526F"/>
    <w:rsid w:val="3EDF7D89"/>
    <w:rsid w:val="3F0C4285"/>
    <w:rsid w:val="3F3F045D"/>
    <w:rsid w:val="3F4B4571"/>
    <w:rsid w:val="3F6E07C4"/>
    <w:rsid w:val="3F7E501E"/>
    <w:rsid w:val="3F821A48"/>
    <w:rsid w:val="3F835AF4"/>
    <w:rsid w:val="3F962587"/>
    <w:rsid w:val="3F962FB5"/>
    <w:rsid w:val="3F9E2DEC"/>
    <w:rsid w:val="3F9E3F65"/>
    <w:rsid w:val="3FB8214B"/>
    <w:rsid w:val="3FB90A60"/>
    <w:rsid w:val="3FC852C3"/>
    <w:rsid w:val="3FE41029"/>
    <w:rsid w:val="3FEE48C6"/>
    <w:rsid w:val="3FF64AAE"/>
    <w:rsid w:val="3FFD378C"/>
    <w:rsid w:val="3FFF41E4"/>
    <w:rsid w:val="400E6526"/>
    <w:rsid w:val="401B3D03"/>
    <w:rsid w:val="401E2A65"/>
    <w:rsid w:val="405E04F5"/>
    <w:rsid w:val="406E10FC"/>
    <w:rsid w:val="4071153C"/>
    <w:rsid w:val="408C151F"/>
    <w:rsid w:val="409F4D21"/>
    <w:rsid w:val="40A8411D"/>
    <w:rsid w:val="40AD1352"/>
    <w:rsid w:val="40BA1A4E"/>
    <w:rsid w:val="40BA48CA"/>
    <w:rsid w:val="40BE36DD"/>
    <w:rsid w:val="40BF7B1D"/>
    <w:rsid w:val="40C66591"/>
    <w:rsid w:val="40C96E3A"/>
    <w:rsid w:val="40D81F2D"/>
    <w:rsid w:val="40DA2FA8"/>
    <w:rsid w:val="40F101D8"/>
    <w:rsid w:val="40F5452C"/>
    <w:rsid w:val="40FF2FDA"/>
    <w:rsid w:val="41157495"/>
    <w:rsid w:val="412453A7"/>
    <w:rsid w:val="41393058"/>
    <w:rsid w:val="414004A4"/>
    <w:rsid w:val="415039F1"/>
    <w:rsid w:val="416042BB"/>
    <w:rsid w:val="41665012"/>
    <w:rsid w:val="41756226"/>
    <w:rsid w:val="417B6D6C"/>
    <w:rsid w:val="41883EEA"/>
    <w:rsid w:val="419153EE"/>
    <w:rsid w:val="41B04AD5"/>
    <w:rsid w:val="41B34752"/>
    <w:rsid w:val="41C82884"/>
    <w:rsid w:val="41D430A6"/>
    <w:rsid w:val="41F665A7"/>
    <w:rsid w:val="41F862E1"/>
    <w:rsid w:val="41FA01AD"/>
    <w:rsid w:val="41FA5458"/>
    <w:rsid w:val="421A0180"/>
    <w:rsid w:val="422D2A3C"/>
    <w:rsid w:val="423B1636"/>
    <w:rsid w:val="4248403A"/>
    <w:rsid w:val="424A712C"/>
    <w:rsid w:val="425A7B9E"/>
    <w:rsid w:val="42685541"/>
    <w:rsid w:val="426D4E1B"/>
    <w:rsid w:val="427B76C1"/>
    <w:rsid w:val="428E3657"/>
    <w:rsid w:val="42977AB2"/>
    <w:rsid w:val="42A452DD"/>
    <w:rsid w:val="42AF0FD8"/>
    <w:rsid w:val="42B867AC"/>
    <w:rsid w:val="42D85DB7"/>
    <w:rsid w:val="42E8225C"/>
    <w:rsid w:val="42ED05F2"/>
    <w:rsid w:val="42F026B5"/>
    <w:rsid w:val="42F96B5C"/>
    <w:rsid w:val="430A5B9F"/>
    <w:rsid w:val="43107BE4"/>
    <w:rsid w:val="43114A90"/>
    <w:rsid w:val="432A6B32"/>
    <w:rsid w:val="43404059"/>
    <w:rsid w:val="43425902"/>
    <w:rsid w:val="43433ABA"/>
    <w:rsid w:val="43567C75"/>
    <w:rsid w:val="437379D9"/>
    <w:rsid w:val="437529DF"/>
    <w:rsid w:val="43922D92"/>
    <w:rsid w:val="43964AE4"/>
    <w:rsid w:val="43B665A4"/>
    <w:rsid w:val="43CE7785"/>
    <w:rsid w:val="43E07E9F"/>
    <w:rsid w:val="43E236CC"/>
    <w:rsid w:val="43E62DB7"/>
    <w:rsid w:val="43F63968"/>
    <w:rsid w:val="43FA1506"/>
    <w:rsid w:val="43FF54B3"/>
    <w:rsid w:val="44062007"/>
    <w:rsid w:val="4415138A"/>
    <w:rsid w:val="444E6A5F"/>
    <w:rsid w:val="44511364"/>
    <w:rsid w:val="445D693A"/>
    <w:rsid w:val="44763A4E"/>
    <w:rsid w:val="448640F9"/>
    <w:rsid w:val="44C70D28"/>
    <w:rsid w:val="44D3781A"/>
    <w:rsid w:val="44E41BB8"/>
    <w:rsid w:val="44E77BD2"/>
    <w:rsid w:val="44E873C4"/>
    <w:rsid w:val="45156522"/>
    <w:rsid w:val="4516219C"/>
    <w:rsid w:val="4519125D"/>
    <w:rsid w:val="451A4C2A"/>
    <w:rsid w:val="452F55E8"/>
    <w:rsid w:val="4536734A"/>
    <w:rsid w:val="45385304"/>
    <w:rsid w:val="454634FD"/>
    <w:rsid w:val="454A22A3"/>
    <w:rsid w:val="45546B33"/>
    <w:rsid w:val="45694F1A"/>
    <w:rsid w:val="456C376F"/>
    <w:rsid w:val="457516BC"/>
    <w:rsid w:val="45757C69"/>
    <w:rsid w:val="457E7E2D"/>
    <w:rsid w:val="458C1B5A"/>
    <w:rsid w:val="458E6E21"/>
    <w:rsid w:val="4595617E"/>
    <w:rsid w:val="45AE5A2F"/>
    <w:rsid w:val="45B054E0"/>
    <w:rsid w:val="45B1368C"/>
    <w:rsid w:val="45BF42EF"/>
    <w:rsid w:val="45CA2B79"/>
    <w:rsid w:val="45D663D2"/>
    <w:rsid w:val="45DD00A6"/>
    <w:rsid w:val="45E107B6"/>
    <w:rsid w:val="46100845"/>
    <w:rsid w:val="462218B6"/>
    <w:rsid w:val="46233B56"/>
    <w:rsid w:val="462D744B"/>
    <w:rsid w:val="4631154C"/>
    <w:rsid w:val="46402363"/>
    <w:rsid w:val="465E7C70"/>
    <w:rsid w:val="46640E27"/>
    <w:rsid w:val="466E719F"/>
    <w:rsid w:val="467E64E7"/>
    <w:rsid w:val="468323C4"/>
    <w:rsid w:val="46857017"/>
    <w:rsid w:val="468F1E47"/>
    <w:rsid w:val="46915E94"/>
    <w:rsid w:val="469626CC"/>
    <w:rsid w:val="469F284B"/>
    <w:rsid w:val="469F60C1"/>
    <w:rsid w:val="46A77882"/>
    <w:rsid w:val="46AB7A0A"/>
    <w:rsid w:val="46AD65D1"/>
    <w:rsid w:val="46B30825"/>
    <w:rsid w:val="46B51F95"/>
    <w:rsid w:val="46C36FF3"/>
    <w:rsid w:val="46CA3D8F"/>
    <w:rsid w:val="46D21B19"/>
    <w:rsid w:val="46D51233"/>
    <w:rsid w:val="46EF2502"/>
    <w:rsid w:val="46F75166"/>
    <w:rsid w:val="46F96371"/>
    <w:rsid w:val="470565BF"/>
    <w:rsid w:val="47075413"/>
    <w:rsid w:val="4721715F"/>
    <w:rsid w:val="47353442"/>
    <w:rsid w:val="473A134E"/>
    <w:rsid w:val="474C3644"/>
    <w:rsid w:val="474F2DE1"/>
    <w:rsid w:val="4750228D"/>
    <w:rsid w:val="475E2CBA"/>
    <w:rsid w:val="47600CB9"/>
    <w:rsid w:val="476D36BB"/>
    <w:rsid w:val="47724555"/>
    <w:rsid w:val="478140BA"/>
    <w:rsid w:val="47831D43"/>
    <w:rsid w:val="478C3B69"/>
    <w:rsid w:val="479746A4"/>
    <w:rsid w:val="47A1060A"/>
    <w:rsid w:val="47AE3202"/>
    <w:rsid w:val="47B27D24"/>
    <w:rsid w:val="47B66E3A"/>
    <w:rsid w:val="47BB60FF"/>
    <w:rsid w:val="47C019B6"/>
    <w:rsid w:val="47C958FB"/>
    <w:rsid w:val="47CB4D00"/>
    <w:rsid w:val="47E250E6"/>
    <w:rsid w:val="47F906B2"/>
    <w:rsid w:val="47FA071C"/>
    <w:rsid w:val="48102E5C"/>
    <w:rsid w:val="481B5FED"/>
    <w:rsid w:val="48280D91"/>
    <w:rsid w:val="482B09B5"/>
    <w:rsid w:val="48342110"/>
    <w:rsid w:val="48377B92"/>
    <w:rsid w:val="4839218B"/>
    <w:rsid w:val="484F3DF7"/>
    <w:rsid w:val="485B691E"/>
    <w:rsid w:val="48630957"/>
    <w:rsid w:val="48747E56"/>
    <w:rsid w:val="48756444"/>
    <w:rsid w:val="48AC5311"/>
    <w:rsid w:val="48B27AE8"/>
    <w:rsid w:val="48BD5395"/>
    <w:rsid w:val="48D3636F"/>
    <w:rsid w:val="48D47BC2"/>
    <w:rsid w:val="48D83B72"/>
    <w:rsid w:val="48EA76B0"/>
    <w:rsid w:val="48EE6CDE"/>
    <w:rsid w:val="48F4757A"/>
    <w:rsid w:val="49015171"/>
    <w:rsid w:val="490B4358"/>
    <w:rsid w:val="490C3E7D"/>
    <w:rsid w:val="491E416F"/>
    <w:rsid w:val="49334850"/>
    <w:rsid w:val="49337255"/>
    <w:rsid w:val="49366E6A"/>
    <w:rsid w:val="4945438E"/>
    <w:rsid w:val="494E17F4"/>
    <w:rsid w:val="49570CB2"/>
    <w:rsid w:val="49590339"/>
    <w:rsid w:val="496242B6"/>
    <w:rsid w:val="49711B72"/>
    <w:rsid w:val="49791A1F"/>
    <w:rsid w:val="497C5E18"/>
    <w:rsid w:val="49815A51"/>
    <w:rsid w:val="49900292"/>
    <w:rsid w:val="499978B3"/>
    <w:rsid w:val="49A037DF"/>
    <w:rsid w:val="49B43FF2"/>
    <w:rsid w:val="49BD5AA0"/>
    <w:rsid w:val="49C836EC"/>
    <w:rsid w:val="49CF66E1"/>
    <w:rsid w:val="49E02E21"/>
    <w:rsid w:val="49E37D4C"/>
    <w:rsid w:val="49EB5909"/>
    <w:rsid w:val="49ED54E3"/>
    <w:rsid w:val="49EE31F1"/>
    <w:rsid w:val="49FA1D56"/>
    <w:rsid w:val="49FF0FDD"/>
    <w:rsid w:val="4A1B69B3"/>
    <w:rsid w:val="4A1C13BF"/>
    <w:rsid w:val="4A2D0576"/>
    <w:rsid w:val="4A372707"/>
    <w:rsid w:val="4A3876FD"/>
    <w:rsid w:val="4A3F319E"/>
    <w:rsid w:val="4A4426FB"/>
    <w:rsid w:val="4A61730B"/>
    <w:rsid w:val="4AA71A88"/>
    <w:rsid w:val="4AB27C9B"/>
    <w:rsid w:val="4AD47421"/>
    <w:rsid w:val="4AD6006B"/>
    <w:rsid w:val="4ADC19E0"/>
    <w:rsid w:val="4AEE10F8"/>
    <w:rsid w:val="4AFC16B3"/>
    <w:rsid w:val="4AFD3AB6"/>
    <w:rsid w:val="4AFE1139"/>
    <w:rsid w:val="4B1B00F3"/>
    <w:rsid w:val="4B1F2125"/>
    <w:rsid w:val="4B223CAD"/>
    <w:rsid w:val="4B280C92"/>
    <w:rsid w:val="4B293BDA"/>
    <w:rsid w:val="4B375150"/>
    <w:rsid w:val="4B46499A"/>
    <w:rsid w:val="4B561C57"/>
    <w:rsid w:val="4B5B4CF6"/>
    <w:rsid w:val="4B5C62F5"/>
    <w:rsid w:val="4B6C5C20"/>
    <w:rsid w:val="4B6F1E60"/>
    <w:rsid w:val="4B7A2028"/>
    <w:rsid w:val="4B7A3B2C"/>
    <w:rsid w:val="4B7E0CBF"/>
    <w:rsid w:val="4B8523A2"/>
    <w:rsid w:val="4B895728"/>
    <w:rsid w:val="4B8A450C"/>
    <w:rsid w:val="4BA870BA"/>
    <w:rsid w:val="4BB5717A"/>
    <w:rsid w:val="4BBA7CFA"/>
    <w:rsid w:val="4BBC66C1"/>
    <w:rsid w:val="4BCB0E15"/>
    <w:rsid w:val="4BCB7B6E"/>
    <w:rsid w:val="4BF50EA7"/>
    <w:rsid w:val="4C023D0E"/>
    <w:rsid w:val="4C077D53"/>
    <w:rsid w:val="4C112FAE"/>
    <w:rsid w:val="4C151D7D"/>
    <w:rsid w:val="4C3C1A81"/>
    <w:rsid w:val="4C417867"/>
    <w:rsid w:val="4C4327E0"/>
    <w:rsid w:val="4C441298"/>
    <w:rsid w:val="4C4B1797"/>
    <w:rsid w:val="4C642ED7"/>
    <w:rsid w:val="4C671BD9"/>
    <w:rsid w:val="4C740D7F"/>
    <w:rsid w:val="4C87201E"/>
    <w:rsid w:val="4C890D85"/>
    <w:rsid w:val="4C8E68D1"/>
    <w:rsid w:val="4C9907B8"/>
    <w:rsid w:val="4CAE5433"/>
    <w:rsid w:val="4CBE6461"/>
    <w:rsid w:val="4CDB02F0"/>
    <w:rsid w:val="4CDB5119"/>
    <w:rsid w:val="4CF90943"/>
    <w:rsid w:val="4CFD4CAA"/>
    <w:rsid w:val="4D00374B"/>
    <w:rsid w:val="4D0206F9"/>
    <w:rsid w:val="4D2C4028"/>
    <w:rsid w:val="4D2E5059"/>
    <w:rsid w:val="4D4C0CED"/>
    <w:rsid w:val="4D4C24DA"/>
    <w:rsid w:val="4D5C21DB"/>
    <w:rsid w:val="4D655416"/>
    <w:rsid w:val="4D6E4F1A"/>
    <w:rsid w:val="4D8B751B"/>
    <w:rsid w:val="4DA5622A"/>
    <w:rsid w:val="4DC83AEA"/>
    <w:rsid w:val="4DCC6B6D"/>
    <w:rsid w:val="4DCD3D43"/>
    <w:rsid w:val="4DCE00E7"/>
    <w:rsid w:val="4DFA5A1A"/>
    <w:rsid w:val="4E021F7C"/>
    <w:rsid w:val="4E0826DC"/>
    <w:rsid w:val="4E084136"/>
    <w:rsid w:val="4E0A31C4"/>
    <w:rsid w:val="4E0E7EF1"/>
    <w:rsid w:val="4E145EC1"/>
    <w:rsid w:val="4E382A68"/>
    <w:rsid w:val="4E3A03EE"/>
    <w:rsid w:val="4E3A5349"/>
    <w:rsid w:val="4E4D1153"/>
    <w:rsid w:val="4E4E48D0"/>
    <w:rsid w:val="4E4F2306"/>
    <w:rsid w:val="4E51362B"/>
    <w:rsid w:val="4E560CCB"/>
    <w:rsid w:val="4E7B669D"/>
    <w:rsid w:val="4E80671B"/>
    <w:rsid w:val="4E8805E2"/>
    <w:rsid w:val="4EA06637"/>
    <w:rsid w:val="4EA268F4"/>
    <w:rsid w:val="4EB4439B"/>
    <w:rsid w:val="4EB715B9"/>
    <w:rsid w:val="4EB82FEB"/>
    <w:rsid w:val="4EC3670C"/>
    <w:rsid w:val="4EC91544"/>
    <w:rsid w:val="4ED103BA"/>
    <w:rsid w:val="4ED8129E"/>
    <w:rsid w:val="4ED97313"/>
    <w:rsid w:val="4EDE5A28"/>
    <w:rsid w:val="4EEB2238"/>
    <w:rsid w:val="4EEB5D5A"/>
    <w:rsid w:val="4EFE4690"/>
    <w:rsid w:val="4F095F30"/>
    <w:rsid w:val="4F150347"/>
    <w:rsid w:val="4F295C57"/>
    <w:rsid w:val="4F360A04"/>
    <w:rsid w:val="4F3F15A1"/>
    <w:rsid w:val="4F3F5736"/>
    <w:rsid w:val="4F3F6E83"/>
    <w:rsid w:val="4F4C4519"/>
    <w:rsid w:val="4F572AD1"/>
    <w:rsid w:val="4F5D27ED"/>
    <w:rsid w:val="4F636909"/>
    <w:rsid w:val="4F71287F"/>
    <w:rsid w:val="4F716923"/>
    <w:rsid w:val="4F93218E"/>
    <w:rsid w:val="4F976817"/>
    <w:rsid w:val="4F9B3FA1"/>
    <w:rsid w:val="4FA614BA"/>
    <w:rsid w:val="4FB33F40"/>
    <w:rsid w:val="4FB72F0B"/>
    <w:rsid w:val="4FC417AA"/>
    <w:rsid w:val="4FC473D8"/>
    <w:rsid w:val="4FCB0B42"/>
    <w:rsid w:val="4FD55AD3"/>
    <w:rsid w:val="4FF670D5"/>
    <w:rsid w:val="50043893"/>
    <w:rsid w:val="5009520B"/>
    <w:rsid w:val="500A6DC1"/>
    <w:rsid w:val="500D063F"/>
    <w:rsid w:val="50164615"/>
    <w:rsid w:val="501A68A8"/>
    <w:rsid w:val="501F5F82"/>
    <w:rsid w:val="50254EA5"/>
    <w:rsid w:val="504132E0"/>
    <w:rsid w:val="50473881"/>
    <w:rsid w:val="50490EAC"/>
    <w:rsid w:val="504D1837"/>
    <w:rsid w:val="504D6DFC"/>
    <w:rsid w:val="505C4589"/>
    <w:rsid w:val="507F5E5D"/>
    <w:rsid w:val="508122C2"/>
    <w:rsid w:val="508B10D8"/>
    <w:rsid w:val="50996FDA"/>
    <w:rsid w:val="50AE6D58"/>
    <w:rsid w:val="50BF7527"/>
    <w:rsid w:val="50C33840"/>
    <w:rsid w:val="50C34CE2"/>
    <w:rsid w:val="50E35899"/>
    <w:rsid w:val="50E51309"/>
    <w:rsid w:val="50F64D81"/>
    <w:rsid w:val="50F8727E"/>
    <w:rsid w:val="50FA0B23"/>
    <w:rsid w:val="510B3530"/>
    <w:rsid w:val="511418AD"/>
    <w:rsid w:val="51311720"/>
    <w:rsid w:val="51447251"/>
    <w:rsid w:val="51493F16"/>
    <w:rsid w:val="515E6929"/>
    <w:rsid w:val="5165503A"/>
    <w:rsid w:val="51677B37"/>
    <w:rsid w:val="51690AE4"/>
    <w:rsid w:val="51695E56"/>
    <w:rsid w:val="516B4DBD"/>
    <w:rsid w:val="51737EEC"/>
    <w:rsid w:val="517F605F"/>
    <w:rsid w:val="51860ABD"/>
    <w:rsid w:val="51873996"/>
    <w:rsid w:val="518F45BB"/>
    <w:rsid w:val="51995E0B"/>
    <w:rsid w:val="51A16B91"/>
    <w:rsid w:val="51D242ED"/>
    <w:rsid w:val="51D357A3"/>
    <w:rsid w:val="51DE49A4"/>
    <w:rsid w:val="51F40EB3"/>
    <w:rsid w:val="51F80AE1"/>
    <w:rsid w:val="51FC55AA"/>
    <w:rsid w:val="520F61EB"/>
    <w:rsid w:val="521A031D"/>
    <w:rsid w:val="523363F8"/>
    <w:rsid w:val="5234023A"/>
    <w:rsid w:val="52384523"/>
    <w:rsid w:val="523F1A57"/>
    <w:rsid w:val="52404324"/>
    <w:rsid w:val="524362CD"/>
    <w:rsid w:val="52462EB3"/>
    <w:rsid w:val="524D0D45"/>
    <w:rsid w:val="526B378C"/>
    <w:rsid w:val="528564ED"/>
    <w:rsid w:val="528A2AFF"/>
    <w:rsid w:val="529B38AD"/>
    <w:rsid w:val="52B643AD"/>
    <w:rsid w:val="52D6134D"/>
    <w:rsid w:val="52D74CB6"/>
    <w:rsid w:val="52F70701"/>
    <w:rsid w:val="531601E1"/>
    <w:rsid w:val="531D14B9"/>
    <w:rsid w:val="533656B4"/>
    <w:rsid w:val="53380B38"/>
    <w:rsid w:val="5344231D"/>
    <w:rsid w:val="5349558B"/>
    <w:rsid w:val="534E4EED"/>
    <w:rsid w:val="534F0F87"/>
    <w:rsid w:val="535C7DE3"/>
    <w:rsid w:val="53737BB4"/>
    <w:rsid w:val="537B7BB9"/>
    <w:rsid w:val="53852D29"/>
    <w:rsid w:val="538E4101"/>
    <w:rsid w:val="539730D2"/>
    <w:rsid w:val="53B80F4D"/>
    <w:rsid w:val="53B97A08"/>
    <w:rsid w:val="53C348FD"/>
    <w:rsid w:val="53C93307"/>
    <w:rsid w:val="53CB52ED"/>
    <w:rsid w:val="53D40CF8"/>
    <w:rsid w:val="53F114BC"/>
    <w:rsid w:val="540979D4"/>
    <w:rsid w:val="541F60A0"/>
    <w:rsid w:val="543B3AB5"/>
    <w:rsid w:val="544A3B54"/>
    <w:rsid w:val="54522357"/>
    <w:rsid w:val="5459619B"/>
    <w:rsid w:val="545E111E"/>
    <w:rsid w:val="5465330B"/>
    <w:rsid w:val="5480319B"/>
    <w:rsid w:val="548C0D12"/>
    <w:rsid w:val="54B7537A"/>
    <w:rsid w:val="54BD4374"/>
    <w:rsid w:val="54C16E91"/>
    <w:rsid w:val="54C976E2"/>
    <w:rsid w:val="54CF1FF8"/>
    <w:rsid w:val="54CF6309"/>
    <w:rsid w:val="54E30B14"/>
    <w:rsid w:val="5504001A"/>
    <w:rsid w:val="552675AF"/>
    <w:rsid w:val="552D4396"/>
    <w:rsid w:val="553D2091"/>
    <w:rsid w:val="55551AD3"/>
    <w:rsid w:val="556B2D2A"/>
    <w:rsid w:val="558B5E64"/>
    <w:rsid w:val="55A10F56"/>
    <w:rsid w:val="55A94DFF"/>
    <w:rsid w:val="55B94E64"/>
    <w:rsid w:val="55C030BF"/>
    <w:rsid w:val="55CD4E19"/>
    <w:rsid w:val="55D53FBF"/>
    <w:rsid w:val="56020065"/>
    <w:rsid w:val="56047EB0"/>
    <w:rsid w:val="561334D2"/>
    <w:rsid w:val="56220678"/>
    <w:rsid w:val="562244A1"/>
    <w:rsid w:val="564720F9"/>
    <w:rsid w:val="564C5DB2"/>
    <w:rsid w:val="56553583"/>
    <w:rsid w:val="56555C05"/>
    <w:rsid w:val="565A09B2"/>
    <w:rsid w:val="565A3139"/>
    <w:rsid w:val="565D27AE"/>
    <w:rsid w:val="56627F6B"/>
    <w:rsid w:val="56804553"/>
    <w:rsid w:val="56881C9F"/>
    <w:rsid w:val="568A00B8"/>
    <w:rsid w:val="568E7067"/>
    <w:rsid w:val="56905D3E"/>
    <w:rsid w:val="56AA430C"/>
    <w:rsid w:val="56AB4054"/>
    <w:rsid w:val="56B9541F"/>
    <w:rsid w:val="56C11D62"/>
    <w:rsid w:val="56D05BDD"/>
    <w:rsid w:val="56D34818"/>
    <w:rsid w:val="56D8617F"/>
    <w:rsid w:val="56DB7917"/>
    <w:rsid w:val="56EB66D1"/>
    <w:rsid w:val="56EF6F32"/>
    <w:rsid w:val="56F1794A"/>
    <w:rsid w:val="56FD1ECC"/>
    <w:rsid w:val="57025FFA"/>
    <w:rsid w:val="57037532"/>
    <w:rsid w:val="572B6E52"/>
    <w:rsid w:val="57661B56"/>
    <w:rsid w:val="57785731"/>
    <w:rsid w:val="577A1954"/>
    <w:rsid w:val="578E00C3"/>
    <w:rsid w:val="578E19EA"/>
    <w:rsid w:val="57907A43"/>
    <w:rsid w:val="57976621"/>
    <w:rsid w:val="57BD4552"/>
    <w:rsid w:val="57C52906"/>
    <w:rsid w:val="57D15132"/>
    <w:rsid w:val="57D763CE"/>
    <w:rsid w:val="57DB0E7E"/>
    <w:rsid w:val="580353E6"/>
    <w:rsid w:val="58122C9F"/>
    <w:rsid w:val="5813140D"/>
    <w:rsid w:val="58146775"/>
    <w:rsid w:val="58475570"/>
    <w:rsid w:val="586417D1"/>
    <w:rsid w:val="58697374"/>
    <w:rsid w:val="586C77F2"/>
    <w:rsid w:val="58716326"/>
    <w:rsid w:val="58726C3A"/>
    <w:rsid w:val="587273E8"/>
    <w:rsid w:val="58860433"/>
    <w:rsid w:val="588C3F9D"/>
    <w:rsid w:val="588D53E6"/>
    <w:rsid w:val="589910B4"/>
    <w:rsid w:val="58AC1A54"/>
    <w:rsid w:val="58AF79DF"/>
    <w:rsid w:val="58B00CF6"/>
    <w:rsid w:val="58B81501"/>
    <w:rsid w:val="58D528C0"/>
    <w:rsid w:val="58E77324"/>
    <w:rsid w:val="58EA6A1B"/>
    <w:rsid w:val="58EE0700"/>
    <w:rsid w:val="58F45F65"/>
    <w:rsid w:val="58F564A2"/>
    <w:rsid w:val="58F842AD"/>
    <w:rsid w:val="58FC08BB"/>
    <w:rsid w:val="58FC6373"/>
    <w:rsid w:val="590B553A"/>
    <w:rsid w:val="590D0E6B"/>
    <w:rsid w:val="591132B4"/>
    <w:rsid w:val="59382945"/>
    <w:rsid w:val="593F04DB"/>
    <w:rsid w:val="594B4288"/>
    <w:rsid w:val="595B14ED"/>
    <w:rsid w:val="596F632C"/>
    <w:rsid w:val="597C6A0C"/>
    <w:rsid w:val="59801CE5"/>
    <w:rsid w:val="59816500"/>
    <w:rsid w:val="59873C6E"/>
    <w:rsid w:val="59906FC5"/>
    <w:rsid w:val="59977ECB"/>
    <w:rsid w:val="59983474"/>
    <w:rsid w:val="59A250FE"/>
    <w:rsid w:val="59A37195"/>
    <w:rsid w:val="59A7415E"/>
    <w:rsid w:val="59AC5D18"/>
    <w:rsid w:val="59B108D9"/>
    <w:rsid w:val="59B4699F"/>
    <w:rsid w:val="59B671E6"/>
    <w:rsid w:val="59B676B5"/>
    <w:rsid w:val="59B755D4"/>
    <w:rsid w:val="59C71C26"/>
    <w:rsid w:val="59CB1EDC"/>
    <w:rsid w:val="59E227A8"/>
    <w:rsid w:val="59E239E0"/>
    <w:rsid w:val="59EB0A8B"/>
    <w:rsid w:val="59F076AE"/>
    <w:rsid w:val="5A0E1ECC"/>
    <w:rsid w:val="5A141E5B"/>
    <w:rsid w:val="5A2D37EB"/>
    <w:rsid w:val="5A3335AA"/>
    <w:rsid w:val="5A3336DA"/>
    <w:rsid w:val="5A483767"/>
    <w:rsid w:val="5A6767ED"/>
    <w:rsid w:val="5A9126E7"/>
    <w:rsid w:val="5ABA4620"/>
    <w:rsid w:val="5ABA732A"/>
    <w:rsid w:val="5ABB34AE"/>
    <w:rsid w:val="5ABE2DC8"/>
    <w:rsid w:val="5AE93350"/>
    <w:rsid w:val="5AEF6BBF"/>
    <w:rsid w:val="5AF56E7E"/>
    <w:rsid w:val="5B0071ED"/>
    <w:rsid w:val="5B3A0404"/>
    <w:rsid w:val="5B4775CE"/>
    <w:rsid w:val="5B5E05A1"/>
    <w:rsid w:val="5B5E52AF"/>
    <w:rsid w:val="5B6A2ADF"/>
    <w:rsid w:val="5B6A6701"/>
    <w:rsid w:val="5B6F07BF"/>
    <w:rsid w:val="5B7454F8"/>
    <w:rsid w:val="5B760E1D"/>
    <w:rsid w:val="5B7A2602"/>
    <w:rsid w:val="5B803C76"/>
    <w:rsid w:val="5B83735A"/>
    <w:rsid w:val="5BA64E14"/>
    <w:rsid w:val="5BAC4183"/>
    <w:rsid w:val="5BB42A52"/>
    <w:rsid w:val="5BB56479"/>
    <w:rsid w:val="5BB866D0"/>
    <w:rsid w:val="5BBC6FD4"/>
    <w:rsid w:val="5BCE0566"/>
    <w:rsid w:val="5BD33963"/>
    <w:rsid w:val="5BEB23EE"/>
    <w:rsid w:val="5BF45AE6"/>
    <w:rsid w:val="5BFD0599"/>
    <w:rsid w:val="5C0236F3"/>
    <w:rsid w:val="5C082EA1"/>
    <w:rsid w:val="5C200278"/>
    <w:rsid w:val="5C237873"/>
    <w:rsid w:val="5C2602DD"/>
    <w:rsid w:val="5C2C59CF"/>
    <w:rsid w:val="5C3665B3"/>
    <w:rsid w:val="5C3858F3"/>
    <w:rsid w:val="5C400234"/>
    <w:rsid w:val="5C4E4A3B"/>
    <w:rsid w:val="5C57025A"/>
    <w:rsid w:val="5C580307"/>
    <w:rsid w:val="5C5D763A"/>
    <w:rsid w:val="5C610205"/>
    <w:rsid w:val="5C635325"/>
    <w:rsid w:val="5C9B0EFE"/>
    <w:rsid w:val="5CAD1B91"/>
    <w:rsid w:val="5CB452FC"/>
    <w:rsid w:val="5CC26CF2"/>
    <w:rsid w:val="5CD01138"/>
    <w:rsid w:val="5CD80CE2"/>
    <w:rsid w:val="5CDF4ED0"/>
    <w:rsid w:val="5CEC0C15"/>
    <w:rsid w:val="5CEE64E9"/>
    <w:rsid w:val="5CEF2513"/>
    <w:rsid w:val="5D017964"/>
    <w:rsid w:val="5D1739B4"/>
    <w:rsid w:val="5D1A7CE2"/>
    <w:rsid w:val="5D320195"/>
    <w:rsid w:val="5D531F12"/>
    <w:rsid w:val="5D546E8F"/>
    <w:rsid w:val="5D7415AC"/>
    <w:rsid w:val="5D744B09"/>
    <w:rsid w:val="5D74754F"/>
    <w:rsid w:val="5D7D6D2A"/>
    <w:rsid w:val="5D895A77"/>
    <w:rsid w:val="5D8B7E87"/>
    <w:rsid w:val="5DA14F5A"/>
    <w:rsid w:val="5DA31090"/>
    <w:rsid w:val="5DA667EB"/>
    <w:rsid w:val="5DAB685D"/>
    <w:rsid w:val="5DBD3A23"/>
    <w:rsid w:val="5DD30D62"/>
    <w:rsid w:val="5DD608FD"/>
    <w:rsid w:val="5DD7525E"/>
    <w:rsid w:val="5DDF5482"/>
    <w:rsid w:val="5DEA3077"/>
    <w:rsid w:val="5DF9211D"/>
    <w:rsid w:val="5E1B249E"/>
    <w:rsid w:val="5E212CEB"/>
    <w:rsid w:val="5E225AB3"/>
    <w:rsid w:val="5E311715"/>
    <w:rsid w:val="5E514026"/>
    <w:rsid w:val="5E521A66"/>
    <w:rsid w:val="5E5F0582"/>
    <w:rsid w:val="5E6B178A"/>
    <w:rsid w:val="5E7722A1"/>
    <w:rsid w:val="5E7C77B0"/>
    <w:rsid w:val="5E9C4522"/>
    <w:rsid w:val="5EAC2654"/>
    <w:rsid w:val="5EAE4379"/>
    <w:rsid w:val="5EB31641"/>
    <w:rsid w:val="5EB4503A"/>
    <w:rsid w:val="5EB73513"/>
    <w:rsid w:val="5EBA2244"/>
    <w:rsid w:val="5ECA3132"/>
    <w:rsid w:val="5ECF7879"/>
    <w:rsid w:val="5ED356AF"/>
    <w:rsid w:val="5EE91FCF"/>
    <w:rsid w:val="5EEA66AA"/>
    <w:rsid w:val="5EFD44B9"/>
    <w:rsid w:val="5F115303"/>
    <w:rsid w:val="5F156C6C"/>
    <w:rsid w:val="5F30076A"/>
    <w:rsid w:val="5F594495"/>
    <w:rsid w:val="5F601C96"/>
    <w:rsid w:val="5F6754B0"/>
    <w:rsid w:val="5F7037E3"/>
    <w:rsid w:val="5F722775"/>
    <w:rsid w:val="5F7F1642"/>
    <w:rsid w:val="5F952950"/>
    <w:rsid w:val="5FBD3BD9"/>
    <w:rsid w:val="5FC16C8E"/>
    <w:rsid w:val="5FC31CEA"/>
    <w:rsid w:val="5FD1086E"/>
    <w:rsid w:val="5FE302FD"/>
    <w:rsid w:val="5FEA25A4"/>
    <w:rsid w:val="5FFA51CE"/>
    <w:rsid w:val="5FFA7831"/>
    <w:rsid w:val="600C12E5"/>
    <w:rsid w:val="602044C3"/>
    <w:rsid w:val="60293C16"/>
    <w:rsid w:val="602D7587"/>
    <w:rsid w:val="60317C6A"/>
    <w:rsid w:val="60331F30"/>
    <w:rsid w:val="603933EA"/>
    <w:rsid w:val="604B64C9"/>
    <w:rsid w:val="604D67CC"/>
    <w:rsid w:val="605A197E"/>
    <w:rsid w:val="605E0ADF"/>
    <w:rsid w:val="606C0172"/>
    <w:rsid w:val="60802C4B"/>
    <w:rsid w:val="60834A4F"/>
    <w:rsid w:val="60B60350"/>
    <w:rsid w:val="60B6622D"/>
    <w:rsid w:val="61205F58"/>
    <w:rsid w:val="61351B78"/>
    <w:rsid w:val="613875CD"/>
    <w:rsid w:val="61391A4D"/>
    <w:rsid w:val="61420E47"/>
    <w:rsid w:val="61452399"/>
    <w:rsid w:val="614A0B9D"/>
    <w:rsid w:val="61544D7F"/>
    <w:rsid w:val="615622E4"/>
    <w:rsid w:val="615E0294"/>
    <w:rsid w:val="615F0ACC"/>
    <w:rsid w:val="616328BD"/>
    <w:rsid w:val="617C02F6"/>
    <w:rsid w:val="617C1266"/>
    <w:rsid w:val="618101E3"/>
    <w:rsid w:val="61830A2D"/>
    <w:rsid w:val="61AB008B"/>
    <w:rsid w:val="61B4181E"/>
    <w:rsid w:val="61B53760"/>
    <w:rsid w:val="61BC5001"/>
    <w:rsid w:val="61C818E1"/>
    <w:rsid w:val="61C83342"/>
    <w:rsid w:val="61CA37F4"/>
    <w:rsid w:val="61DE380B"/>
    <w:rsid w:val="61E24CC6"/>
    <w:rsid w:val="61EA3761"/>
    <w:rsid w:val="61F33014"/>
    <w:rsid w:val="61F40326"/>
    <w:rsid w:val="61F841B2"/>
    <w:rsid w:val="61F86EEC"/>
    <w:rsid w:val="62004ABC"/>
    <w:rsid w:val="620A211F"/>
    <w:rsid w:val="620B06C6"/>
    <w:rsid w:val="620D1F07"/>
    <w:rsid w:val="62181A3B"/>
    <w:rsid w:val="6223625E"/>
    <w:rsid w:val="622F1B36"/>
    <w:rsid w:val="625063B9"/>
    <w:rsid w:val="625C2994"/>
    <w:rsid w:val="626737BE"/>
    <w:rsid w:val="62690E12"/>
    <w:rsid w:val="626B3092"/>
    <w:rsid w:val="629058AB"/>
    <w:rsid w:val="629C25B4"/>
    <w:rsid w:val="62A01802"/>
    <w:rsid w:val="62A229CC"/>
    <w:rsid w:val="62BE2402"/>
    <w:rsid w:val="62C57DA2"/>
    <w:rsid w:val="62D324B4"/>
    <w:rsid w:val="62D45BA7"/>
    <w:rsid w:val="62D577B9"/>
    <w:rsid w:val="62E85874"/>
    <w:rsid w:val="63063093"/>
    <w:rsid w:val="6319111B"/>
    <w:rsid w:val="631E2235"/>
    <w:rsid w:val="63241424"/>
    <w:rsid w:val="63241A7F"/>
    <w:rsid w:val="63266F00"/>
    <w:rsid w:val="63342250"/>
    <w:rsid w:val="633E2D11"/>
    <w:rsid w:val="633E41DE"/>
    <w:rsid w:val="63523D95"/>
    <w:rsid w:val="63630749"/>
    <w:rsid w:val="636A0494"/>
    <w:rsid w:val="63715D2F"/>
    <w:rsid w:val="639A4E48"/>
    <w:rsid w:val="639E0A2D"/>
    <w:rsid w:val="63B461F5"/>
    <w:rsid w:val="63C13B1C"/>
    <w:rsid w:val="63C511FD"/>
    <w:rsid w:val="63C619DE"/>
    <w:rsid w:val="63CB5C2E"/>
    <w:rsid w:val="63DB1533"/>
    <w:rsid w:val="63F109EE"/>
    <w:rsid w:val="63F31CD7"/>
    <w:rsid w:val="63F44D90"/>
    <w:rsid w:val="640E28C7"/>
    <w:rsid w:val="64135D50"/>
    <w:rsid w:val="641E0249"/>
    <w:rsid w:val="644E3BF2"/>
    <w:rsid w:val="64565585"/>
    <w:rsid w:val="645D5BB3"/>
    <w:rsid w:val="64655BC3"/>
    <w:rsid w:val="64692FA7"/>
    <w:rsid w:val="646E453B"/>
    <w:rsid w:val="647641E6"/>
    <w:rsid w:val="647E73F6"/>
    <w:rsid w:val="648B4D61"/>
    <w:rsid w:val="648C2AEB"/>
    <w:rsid w:val="64984992"/>
    <w:rsid w:val="649C20F2"/>
    <w:rsid w:val="64AE4B95"/>
    <w:rsid w:val="64B04A81"/>
    <w:rsid w:val="64B26502"/>
    <w:rsid w:val="64B64469"/>
    <w:rsid w:val="64B66DE6"/>
    <w:rsid w:val="64BA1740"/>
    <w:rsid w:val="64BF4B06"/>
    <w:rsid w:val="64D06E75"/>
    <w:rsid w:val="64D1001B"/>
    <w:rsid w:val="64EC1FC1"/>
    <w:rsid w:val="64EC44A4"/>
    <w:rsid w:val="6521346E"/>
    <w:rsid w:val="654A4A91"/>
    <w:rsid w:val="65592D32"/>
    <w:rsid w:val="655F36DD"/>
    <w:rsid w:val="656122E3"/>
    <w:rsid w:val="656B0561"/>
    <w:rsid w:val="6571371D"/>
    <w:rsid w:val="6572654F"/>
    <w:rsid w:val="657D7505"/>
    <w:rsid w:val="65883E9F"/>
    <w:rsid w:val="6588552F"/>
    <w:rsid w:val="659476D3"/>
    <w:rsid w:val="65963ED4"/>
    <w:rsid w:val="65975EBC"/>
    <w:rsid w:val="65B21914"/>
    <w:rsid w:val="65B824FF"/>
    <w:rsid w:val="65C456FF"/>
    <w:rsid w:val="65C4632A"/>
    <w:rsid w:val="65E02FA8"/>
    <w:rsid w:val="65E8777C"/>
    <w:rsid w:val="65EF4A08"/>
    <w:rsid w:val="661735E6"/>
    <w:rsid w:val="662F684F"/>
    <w:rsid w:val="66355A97"/>
    <w:rsid w:val="6638020A"/>
    <w:rsid w:val="663E60D9"/>
    <w:rsid w:val="6648413E"/>
    <w:rsid w:val="66506ACB"/>
    <w:rsid w:val="66511D5D"/>
    <w:rsid w:val="66622C2C"/>
    <w:rsid w:val="666B3C37"/>
    <w:rsid w:val="667B2726"/>
    <w:rsid w:val="667D1298"/>
    <w:rsid w:val="667E2CA0"/>
    <w:rsid w:val="66A60BB7"/>
    <w:rsid w:val="66B40E9A"/>
    <w:rsid w:val="66B948A3"/>
    <w:rsid w:val="66B95260"/>
    <w:rsid w:val="66D06267"/>
    <w:rsid w:val="66DA1CB1"/>
    <w:rsid w:val="66DF4F08"/>
    <w:rsid w:val="66E16B33"/>
    <w:rsid w:val="66F43D4A"/>
    <w:rsid w:val="66F53680"/>
    <w:rsid w:val="66FF4F7D"/>
    <w:rsid w:val="670527A2"/>
    <w:rsid w:val="671729E1"/>
    <w:rsid w:val="671C36AF"/>
    <w:rsid w:val="67226778"/>
    <w:rsid w:val="673B5505"/>
    <w:rsid w:val="67507C7D"/>
    <w:rsid w:val="67530C53"/>
    <w:rsid w:val="675B456F"/>
    <w:rsid w:val="676C1423"/>
    <w:rsid w:val="677A19D6"/>
    <w:rsid w:val="679358BD"/>
    <w:rsid w:val="679B75D8"/>
    <w:rsid w:val="67AC1763"/>
    <w:rsid w:val="67B55C61"/>
    <w:rsid w:val="67BD56A1"/>
    <w:rsid w:val="67C22754"/>
    <w:rsid w:val="67DE04F8"/>
    <w:rsid w:val="68306413"/>
    <w:rsid w:val="68342128"/>
    <w:rsid w:val="683C5A08"/>
    <w:rsid w:val="684319FE"/>
    <w:rsid w:val="684A094F"/>
    <w:rsid w:val="686C5A72"/>
    <w:rsid w:val="68907853"/>
    <w:rsid w:val="68A55DAE"/>
    <w:rsid w:val="68B40F0D"/>
    <w:rsid w:val="68BD5131"/>
    <w:rsid w:val="68C22F03"/>
    <w:rsid w:val="68C84017"/>
    <w:rsid w:val="68D50186"/>
    <w:rsid w:val="68E10B01"/>
    <w:rsid w:val="68E255A4"/>
    <w:rsid w:val="68EA0F9E"/>
    <w:rsid w:val="68F2196E"/>
    <w:rsid w:val="69092152"/>
    <w:rsid w:val="692C1365"/>
    <w:rsid w:val="693244CE"/>
    <w:rsid w:val="693574A3"/>
    <w:rsid w:val="693C32DC"/>
    <w:rsid w:val="694155F2"/>
    <w:rsid w:val="696E31B2"/>
    <w:rsid w:val="69797C2C"/>
    <w:rsid w:val="69801885"/>
    <w:rsid w:val="6987387E"/>
    <w:rsid w:val="698A765E"/>
    <w:rsid w:val="698B4562"/>
    <w:rsid w:val="69A1632E"/>
    <w:rsid w:val="69DF4D8A"/>
    <w:rsid w:val="69E505FB"/>
    <w:rsid w:val="6A0C1510"/>
    <w:rsid w:val="6A151613"/>
    <w:rsid w:val="6A163D57"/>
    <w:rsid w:val="6A1F6A17"/>
    <w:rsid w:val="6A346A38"/>
    <w:rsid w:val="6A427EF4"/>
    <w:rsid w:val="6A5051EE"/>
    <w:rsid w:val="6A6A073B"/>
    <w:rsid w:val="6A6D6CBF"/>
    <w:rsid w:val="6A6F67DC"/>
    <w:rsid w:val="6A905270"/>
    <w:rsid w:val="6AA47162"/>
    <w:rsid w:val="6AA6321C"/>
    <w:rsid w:val="6ACF794E"/>
    <w:rsid w:val="6AD57EE7"/>
    <w:rsid w:val="6AE62444"/>
    <w:rsid w:val="6B037B68"/>
    <w:rsid w:val="6B0B66F2"/>
    <w:rsid w:val="6B0F47A7"/>
    <w:rsid w:val="6B221EEB"/>
    <w:rsid w:val="6B2C0B04"/>
    <w:rsid w:val="6B3D5B22"/>
    <w:rsid w:val="6B4D46B1"/>
    <w:rsid w:val="6B602E5F"/>
    <w:rsid w:val="6B6304DE"/>
    <w:rsid w:val="6B6F6368"/>
    <w:rsid w:val="6B736EB0"/>
    <w:rsid w:val="6B77483A"/>
    <w:rsid w:val="6B7808FE"/>
    <w:rsid w:val="6B7B6D1B"/>
    <w:rsid w:val="6B7C074E"/>
    <w:rsid w:val="6B8527B1"/>
    <w:rsid w:val="6B98233A"/>
    <w:rsid w:val="6BAA36D8"/>
    <w:rsid w:val="6BB24C5E"/>
    <w:rsid w:val="6BBF6C84"/>
    <w:rsid w:val="6BCC6732"/>
    <w:rsid w:val="6BCF1579"/>
    <w:rsid w:val="6BDF3793"/>
    <w:rsid w:val="6BEE76EB"/>
    <w:rsid w:val="6BF854B3"/>
    <w:rsid w:val="6BF967BE"/>
    <w:rsid w:val="6C094EA6"/>
    <w:rsid w:val="6C2A09F7"/>
    <w:rsid w:val="6C311228"/>
    <w:rsid w:val="6C46644E"/>
    <w:rsid w:val="6C4A0825"/>
    <w:rsid w:val="6C4E3045"/>
    <w:rsid w:val="6C767878"/>
    <w:rsid w:val="6C850C3D"/>
    <w:rsid w:val="6C8E1C6E"/>
    <w:rsid w:val="6C9F3226"/>
    <w:rsid w:val="6CA30A40"/>
    <w:rsid w:val="6CA439BF"/>
    <w:rsid w:val="6CA669CB"/>
    <w:rsid w:val="6CB26989"/>
    <w:rsid w:val="6CB9596D"/>
    <w:rsid w:val="6CBE502A"/>
    <w:rsid w:val="6CCD3E86"/>
    <w:rsid w:val="6CCE5C61"/>
    <w:rsid w:val="6CFC2A23"/>
    <w:rsid w:val="6D264DA1"/>
    <w:rsid w:val="6D29477F"/>
    <w:rsid w:val="6D304E75"/>
    <w:rsid w:val="6D311681"/>
    <w:rsid w:val="6D3F18FA"/>
    <w:rsid w:val="6D416766"/>
    <w:rsid w:val="6D4C16FA"/>
    <w:rsid w:val="6D52253D"/>
    <w:rsid w:val="6D612F71"/>
    <w:rsid w:val="6D6B54CC"/>
    <w:rsid w:val="6D731545"/>
    <w:rsid w:val="6D755088"/>
    <w:rsid w:val="6D7D4F32"/>
    <w:rsid w:val="6D7F66C1"/>
    <w:rsid w:val="6D907866"/>
    <w:rsid w:val="6DB40C61"/>
    <w:rsid w:val="6DB65484"/>
    <w:rsid w:val="6DC0796E"/>
    <w:rsid w:val="6DE41221"/>
    <w:rsid w:val="6DE91AC4"/>
    <w:rsid w:val="6DF249DD"/>
    <w:rsid w:val="6DFF137D"/>
    <w:rsid w:val="6E176CE6"/>
    <w:rsid w:val="6E247881"/>
    <w:rsid w:val="6E2C0D10"/>
    <w:rsid w:val="6E4E0188"/>
    <w:rsid w:val="6E5B4294"/>
    <w:rsid w:val="6E704F6E"/>
    <w:rsid w:val="6E7C44EF"/>
    <w:rsid w:val="6E8B6899"/>
    <w:rsid w:val="6E90711A"/>
    <w:rsid w:val="6E965982"/>
    <w:rsid w:val="6E967702"/>
    <w:rsid w:val="6E981DD7"/>
    <w:rsid w:val="6E9B1EED"/>
    <w:rsid w:val="6E9D3228"/>
    <w:rsid w:val="6EA73986"/>
    <w:rsid w:val="6EA7671A"/>
    <w:rsid w:val="6ECA4B2E"/>
    <w:rsid w:val="6ED507D6"/>
    <w:rsid w:val="6EE54585"/>
    <w:rsid w:val="6EE824B1"/>
    <w:rsid w:val="6EED50E9"/>
    <w:rsid w:val="6EFC7100"/>
    <w:rsid w:val="6F095C29"/>
    <w:rsid w:val="6F28752F"/>
    <w:rsid w:val="6F4338AE"/>
    <w:rsid w:val="6F441C7D"/>
    <w:rsid w:val="6F4B4DA0"/>
    <w:rsid w:val="6F573AB8"/>
    <w:rsid w:val="6F5D582C"/>
    <w:rsid w:val="6F612B93"/>
    <w:rsid w:val="6F702496"/>
    <w:rsid w:val="6F8B4168"/>
    <w:rsid w:val="6F9C65E1"/>
    <w:rsid w:val="6FA34696"/>
    <w:rsid w:val="6FA5489B"/>
    <w:rsid w:val="6FA71715"/>
    <w:rsid w:val="6FCA45F5"/>
    <w:rsid w:val="6FE0597C"/>
    <w:rsid w:val="6FEE2FD0"/>
    <w:rsid w:val="6FF36AFA"/>
    <w:rsid w:val="6FFF274E"/>
    <w:rsid w:val="7000166D"/>
    <w:rsid w:val="700249D6"/>
    <w:rsid w:val="700607EF"/>
    <w:rsid w:val="700C7CA6"/>
    <w:rsid w:val="700D72DC"/>
    <w:rsid w:val="7035524F"/>
    <w:rsid w:val="70401897"/>
    <w:rsid w:val="704D0560"/>
    <w:rsid w:val="704D76F4"/>
    <w:rsid w:val="705A1486"/>
    <w:rsid w:val="70756893"/>
    <w:rsid w:val="707A4008"/>
    <w:rsid w:val="70802108"/>
    <w:rsid w:val="70841842"/>
    <w:rsid w:val="70B37ABB"/>
    <w:rsid w:val="70E55B38"/>
    <w:rsid w:val="70E602B0"/>
    <w:rsid w:val="71094992"/>
    <w:rsid w:val="710D0B95"/>
    <w:rsid w:val="711B76FF"/>
    <w:rsid w:val="711D5824"/>
    <w:rsid w:val="71562995"/>
    <w:rsid w:val="716014B8"/>
    <w:rsid w:val="717B1AD6"/>
    <w:rsid w:val="7181363F"/>
    <w:rsid w:val="71872C8E"/>
    <w:rsid w:val="71910046"/>
    <w:rsid w:val="719147F0"/>
    <w:rsid w:val="71DB4A76"/>
    <w:rsid w:val="71E76942"/>
    <w:rsid w:val="71F22CC2"/>
    <w:rsid w:val="71F22E94"/>
    <w:rsid w:val="71F56BE0"/>
    <w:rsid w:val="72110AF2"/>
    <w:rsid w:val="72170F4D"/>
    <w:rsid w:val="7223632A"/>
    <w:rsid w:val="7240244B"/>
    <w:rsid w:val="724752B1"/>
    <w:rsid w:val="725824DC"/>
    <w:rsid w:val="725C49D6"/>
    <w:rsid w:val="72663B2C"/>
    <w:rsid w:val="72737E6A"/>
    <w:rsid w:val="72865F51"/>
    <w:rsid w:val="72906A88"/>
    <w:rsid w:val="72910D43"/>
    <w:rsid w:val="72916AAD"/>
    <w:rsid w:val="7299471F"/>
    <w:rsid w:val="729A2EB2"/>
    <w:rsid w:val="729D0A94"/>
    <w:rsid w:val="729E2BD1"/>
    <w:rsid w:val="72B26F0F"/>
    <w:rsid w:val="72BA7FC3"/>
    <w:rsid w:val="72D21FF0"/>
    <w:rsid w:val="72DA4710"/>
    <w:rsid w:val="72E71A47"/>
    <w:rsid w:val="72F6161E"/>
    <w:rsid w:val="7302282E"/>
    <w:rsid w:val="73125004"/>
    <w:rsid w:val="73352463"/>
    <w:rsid w:val="734C170C"/>
    <w:rsid w:val="734D4BA2"/>
    <w:rsid w:val="734E495D"/>
    <w:rsid w:val="736C7C71"/>
    <w:rsid w:val="737031B9"/>
    <w:rsid w:val="73797C30"/>
    <w:rsid w:val="73810772"/>
    <w:rsid w:val="738C70EE"/>
    <w:rsid w:val="739C16E9"/>
    <w:rsid w:val="73BE663A"/>
    <w:rsid w:val="73D858E3"/>
    <w:rsid w:val="73D85BD5"/>
    <w:rsid w:val="73E029C8"/>
    <w:rsid w:val="73E2110D"/>
    <w:rsid w:val="73EC780A"/>
    <w:rsid w:val="73F6646D"/>
    <w:rsid w:val="740318B0"/>
    <w:rsid w:val="74063951"/>
    <w:rsid w:val="740D1E9C"/>
    <w:rsid w:val="740F2C00"/>
    <w:rsid w:val="74423845"/>
    <w:rsid w:val="74433972"/>
    <w:rsid w:val="74445D8A"/>
    <w:rsid w:val="746A10A3"/>
    <w:rsid w:val="746C4393"/>
    <w:rsid w:val="74744631"/>
    <w:rsid w:val="74816FB3"/>
    <w:rsid w:val="74B8502D"/>
    <w:rsid w:val="74C35A3E"/>
    <w:rsid w:val="74D50D95"/>
    <w:rsid w:val="74D71315"/>
    <w:rsid w:val="74F72D9A"/>
    <w:rsid w:val="752553B2"/>
    <w:rsid w:val="752708A2"/>
    <w:rsid w:val="752C3C93"/>
    <w:rsid w:val="75382E94"/>
    <w:rsid w:val="75391C3A"/>
    <w:rsid w:val="753C1294"/>
    <w:rsid w:val="75411B11"/>
    <w:rsid w:val="758B3BB7"/>
    <w:rsid w:val="759F6F81"/>
    <w:rsid w:val="75B45811"/>
    <w:rsid w:val="75B92239"/>
    <w:rsid w:val="75C000C8"/>
    <w:rsid w:val="75D04588"/>
    <w:rsid w:val="75D67CB6"/>
    <w:rsid w:val="75D969AA"/>
    <w:rsid w:val="75ED380B"/>
    <w:rsid w:val="75F05F1B"/>
    <w:rsid w:val="76014B61"/>
    <w:rsid w:val="76015CAE"/>
    <w:rsid w:val="760D2840"/>
    <w:rsid w:val="760E4767"/>
    <w:rsid w:val="76121CD0"/>
    <w:rsid w:val="761E66EF"/>
    <w:rsid w:val="762D18A1"/>
    <w:rsid w:val="764B6F95"/>
    <w:rsid w:val="76516BA8"/>
    <w:rsid w:val="76531B19"/>
    <w:rsid w:val="765D7178"/>
    <w:rsid w:val="76822557"/>
    <w:rsid w:val="768935D0"/>
    <w:rsid w:val="7691091C"/>
    <w:rsid w:val="769C3372"/>
    <w:rsid w:val="76A14FA6"/>
    <w:rsid w:val="76BF64B6"/>
    <w:rsid w:val="76C51A23"/>
    <w:rsid w:val="76DD019F"/>
    <w:rsid w:val="76F24E54"/>
    <w:rsid w:val="770B2518"/>
    <w:rsid w:val="772A2999"/>
    <w:rsid w:val="774060C2"/>
    <w:rsid w:val="776613E8"/>
    <w:rsid w:val="7771311E"/>
    <w:rsid w:val="777271F7"/>
    <w:rsid w:val="77815550"/>
    <w:rsid w:val="778E2086"/>
    <w:rsid w:val="779474EB"/>
    <w:rsid w:val="779608B1"/>
    <w:rsid w:val="77A2773E"/>
    <w:rsid w:val="77B03C96"/>
    <w:rsid w:val="77B12615"/>
    <w:rsid w:val="77B15116"/>
    <w:rsid w:val="77B70D55"/>
    <w:rsid w:val="77C06EA2"/>
    <w:rsid w:val="77C21A6B"/>
    <w:rsid w:val="77D13974"/>
    <w:rsid w:val="77E20BB8"/>
    <w:rsid w:val="77F82501"/>
    <w:rsid w:val="77FA19FC"/>
    <w:rsid w:val="780335F4"/>
    <w:rsid w:val="780442B8"/>
    <w:rsid w:val="781C6C86"/>
    <w:rsid w:val="784F0D98"/>
    <w:rsid w:val="7852046F"/>
    <w:rsid w:val="786C4A1E"/>
    <w:rsid w:val="78741538"/>
    <w:rsid w:val="787A3EA7"/>
    <w:rsid w:val="787F0121"/>
    <w:rsid w:val="78875155"/>
    <w:rsid w:val="78910890"/>
    <w:rsid w:val="78BA6116"/>
    <w:rsid w:val="78CB6C9C"/>
    <w:rsid w:val="78D11E6F"/>
    <w:rsid w:val="78E546DE"/>
    <w:rsid w:val="78ED7677"/>
    <w:rsid w:val="78F806F9"/>
    <w:rsid w:val="793125E9"/>
    <w:rsid w:val="79365104"/>
    <w:rsid w:val="793D0CAF"/>
    <w:rsid w:val="79422D71"/>
    <w:rsid w:val="79541F06"/>
    <w:rsid w:val="7959257A"/>
    <w:rsid w:val="795B38D2"/>
    <w:rsid w:val="797079E0"/>
    <w:rsid w:val="798A4E39"/>
    <w:rsid w:val="7992272C"/>
    <w:rsid w:val="799412B0"/>
    <w:rsid w:val="79950729"/>
    <w:rsid w:val="79A31C76"/>
    <w:rsid w:val="79A937F3"/>
    <w:rsid w:val="79B24A76"/>
    <w:rsid w:val="79B7716C"/>
    <w:rsid w:val="79C36F49"/>
    <w:rsid w:val="79C52D57"/>
    <w:rsid w:val="79D42149"/>
    <w:rsid w:val="79D55910"/>
    <w:rsid w:val="79D95011"/>
    <w:rsid w:val="79F56560"/>
    <w:rsid w:val="7A34692C"/>
    <w:rsid w:val="7A682F78"/>
    <w:rsid w:val="7A764A95"/>
    <w:rsid w:val="7A8C6E5C"/>
    <w:rsid w:val="7A8E5BD9"/>
    <w:rsid w:val="7A8F7EEB"/>
    <w:rsid w:val="7AA228B8"/>
    <w:rsid w:val="7AA717B8"/>
    <w:rsid w:val="7AC74297"/>
    <w:rsid w:val="7ACC6E4C"/>
    <w:rsid w:val="7AD515EC"/>
    <w:rsid w:val="7AEA4BE1"/>
    <w:rsid w:val="7AF53314"/>
    <w:rsid w:val="7AF54F06"/>
    <w:rsid w:val="7AF65A8B"/>
    <w:rsid w:val="7B0A3604"/>
    <w:rsid w:val="7B0B6FF2"/>
    <w:rsid w:val="7B1B0ECB"/>
    <w:rsid w:val="7B355E9D"/>
    <w:rsid w:val="7B4332FD"/>
    <w:rsid w:val="7B6A759D"/>
    <w:rsid w:val="7B8B01BA"/>
    <w:rsid w:val="7B8F138F"/>
    <w:rsid w:val="7B8F66D2"/>
    <w:rsid w:val="7B9C7486"/>
    <w:rsid w:val="7BBF41E9"/>
    <w:rsid w:val="7BC51748"/>
    <w:rsid w:val="7BD0374A"/>
    <w:rsid w:val="7BD27861"/>
    <w:rsid w:val="7BD61724"/>
    <w:rsid w:val="7BE1183D"/>
    <w:rsid w:val="7C0D6766"/>
    <w:rsid w:val="7C122CFA"/>
    <w:rsid w:val="7C1475BA"/>
    <w:rsid w:val="7C175943"/>
    <w:rsid w:val="7C1E1273"/>
    <w:rsid w:val="7C2C7A72"/>
    <w:rsid w:val="7C3640D5"/>
    <w:rsid w:val="7C401C2E"/>
    <w:rsid w:val="7C6640E0"/>
    <w:rsid w:val="7CA06B1B"/>
    <w:rsid w:val="7CAC3870"/>
    <w:rsid w:val="7CAE4655"/>
    <w:rsid w:val="7CAE5692"/>
    <w:rsid w:val="7CC032E7"/>
    <w:rsid w:val="7CCA1BEE"/>
    <w:rsid w:val="7CD936DE"/>
    <w:rsid w:val="7CE4130C"/>
    <w:rsid w:val="7CE6189C"/>
    <w:rsid w:val="7CFD0793"/>
    <w:rsid w:val="7D0B3E8C"/>
    <w:rsid w:val="7D114EC5"/>
    <w:rsid w:val="7D205DD2"/>
    <w:rsid w:val="7D2867B1"/>
    <w:rsid w:val="7D2E0078"/>
    <w:rsid w:val="7D350514"/>
    <w:rsid w:val="7D6051D0"/>
    <w:rsid w:val="7D6076B5"/>
    <w:rsid w:val="7D7109C9"/>
    <w:rsid w:val="7D807D6B"/>
    <w:rsid w:val="7D9012A7"/>
    <w:rsid w:val="7D9363F3"/>
    <w:rsid w:val="7D94273B"/>
    <w:rsid w:val="7DA1689B"/>
    <w:rsid w:val="7DAA6D6D"/>
    <w:rsid w:val="7DAE3F78"/>
    <w:rsid w:val="7DB721F8"/>
    <w:rsid w:val="7DD9684E"/>
    <w:rsid w:val="7DDA27D4"/>
    <w:rsid w:val="7DE210FE"/>
    <w:rsid w:val="7DE50F28"/>
    <w:rsid w:val="7DE97CEA"/>
    <w:rsid w:val="7DF17C22"/>
    <w:rsid w:val="7DF76C50"/>
    <w:rsid w:val="7E0521A9"/>
    <w:rsid w:val="7E176F13"/>
    <w:rsid w:val="7E260F64"/>
    <w:rsid w:val="7E2B7A75"/>
    <w:rsid w:val="7E2D59E5"/>
    <w:rsid w:val="7E38774D"/>
    <w:rsid w:val="7E4256EC"/>
    <w:rsid w:val="7E467012"/>
    <w:rsid w:val="7E482609"/>
    <w:rsid w:val="7E497562"/>
    <w:rsid w:val="7E5C270A"/>
    <w:rsid w:val="7E5D7143"/>
    <w:rsid w:val="7E661B3F"/>
    <w:rsid w:val="7E876FE5"/>
    <w:rsid w:val="7E9056A1"/>
    <w:rsid w:val="7E9C7F97"/>
    <w:rsid w:val="7E9E38D3"/>
    <w:rsid w:val="7EA260CD"/>
    <w:rsid w:val="7EC22236"/>
    <w:rsid w:val="7EC859B9"/>
    <w:rsid w:val="7EEF00DC"/>
    <w:rsid w:val="7EF35765"/>
    <w:rsid w:val="7EF8297C"/>
    <w:rsid w:val="7EFF105F"/>
    <w:rsid w:val="7F2818C5"/>
    <w:rsid w:val="7F3C1FB2"/>
    <w:rsid w:val="7F442685"/>
    <w:rsid w:val="7F471AF0"/>
    <w:rsid w:val="7F5B549F"/>
    <w:rsid w:val="7F6E329E"/>
    <w:rsid w:val="7F727292"/>
    <w:rsid w:val="7F822148"/>
    <w:rsid w:val="7FA3457A"/>
    <w:rsid w:val="7FAD3D52"/>
    <w:rsid w:val="7FB5008F"/>
    <w:rsid w:val="7FCF0FE8"/>
    <w:rsid w:val="7FD55B5B"/>
    <w:rsid w:val="7FD7147F"/>
    <w:rsid w:val="7FE90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annotation subject"/>
    <w:basedOn w:val="15"/>
    <w:next w:val="15"/>
    <w:link w:val="91"/>
    <w:semiHidden/>
    <w:qFormat/>
    <w:uiPriority w:val="0"/>
    <w:pPr>
      <w:widowControl/>
      <w:spacing w:before="40"/>
    </w:pPr>
    <w:rPr>
      <w:rFonts w:ascii="Arial" w:hAnsi="Arial" w:eastAsia="MS Mincho"/>
      <w:b/>
      <w:bCs/>
      <w:kern w:val="0"/>
      <w:sz w:val="20"/>
      <w:szCs w:val="20"/>
      <w:lang w:val="en-GB" w:eastAsia="en-GB"/>
    </w:rPr>
  </w:style>
  <w:style w:type="paragraph" w:styleId="15">
    <w:name w:val="annotation text"/>
    <w:basedOn w:val="1"/>
    <w:link w:val="175"/>
    <w:unhideWhenUsed/>
    <w:qFormat/>
    <w:uiPriority w:val="0"/>
    <w:pPr>
      <w:jc w:val="left"/>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68"/>
    <w:unhideWhenUsed/>
    <w:qFormat/>
    <w:uiPriority w:val="0"/>
    <w:rPr>
      <w:rFonts w:ascii="宋体"/>
      <w:sz w:val="18"/>
      <w:szCs w:val="18"/>
    </w:r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9"/>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66">
    <w:name w:val="Balloon Text Char"/>
    <w:basedOn w:val="56"/>
    <w:link w:val="37"/>
    <w:qFormat/>
    <w:uiPriority w:val="0"/>
    <w:rPr>
      <w:kern w:val="2"/>
      <w:sz w:val="18"/>
      <w:szCs w:val="18"/>
    </w:rPr>
  </w:style>
  <w:style w:type="paragraph" w:customStyle="1" w:styleId="67">
    <w:name w:val="List Paragraph1"/>
    <w:basedOn w:val="1"/>
    <w:link w:val="272"/>
    <w:unhideWhenUsed/>
    <w:qFormat/>
    <w:uiPriority w:val="99"/>
    <w:pPr>
      <w:ind w:firstLine="420" w:firstLineChars="200"/>
    </w:pPr>
  </w:style>
  <w:style w:type="character" w:customStyle="1" w:styleId="68">
    <w:name w:val="Document Map Char"/>
    <w:basedOn w:val="56"/>
    <w:link w:val="26"/>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4"/>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Placeholder Text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8"/>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7"/>
    <w:qFormat/>
    <w:uiPriority w:val="0"/>
  </w:style>
  <w:style w:type="paragraph" w:customStyle="1" w:styleId="216">
    <w:name w:val="其他发布日期"/>
    <w:basedOn w:val="165"/>
    <w:qFormat/>
    <w:uiPriority w:val="0"/>
  </w:style>
  <w:style w:type="paragraph" w:customStyle="1" w:styleId="217">
    <w:name w:val="B4"/>
    <w:basedOn w:val="48"/>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link w:val="279"/>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Editor's Note Char"/>
    <w:link w:val="238"/>
    <w:qFormat/>
    <w:uiPriority w:val="0"/>
    <w:rPr>
      <w:rFonts w:eastAsia="MS Mincho"/>
      <w:color w:val="FF0000"/>
      <w:lang w:val="en-GB" w:eastAsia="en-US"/>
    </w:rPr>
  </w:style>
  <w:style w:type="paragraph" w:customStyle="1" w:styleId="280">
    <w:name w:val="列出段落1"/>
    <w:basedOn w:val="1"/>
    <w:qFormat/>
    <w:uiPriority w:val="34"/>
    <w:pPr>
      <w:spacing w:after="0"/>
      <w:ind w:firstLine="420"/>
    </w:pPr>
    <w:rPr>
      <w:rFonts w:ascii="Calibri" w:hAnsi="Calibri" w:eastAsia="宋体" w:cs="宋体"/>
      <w:szCs w:val="21"/>
    </w:rPr>
  </w:style>
  <w:style w:type="paragraph" w:styleId="281">
    <w:name w:val="List Paragraph"/>
    <w:basedOn w:val="1"/>
    <w:qFormat/>
    <w:uiPriority w:val="99"/>
    <w:pPr>
      <w:ind w:firstLine="420" w:firstLineChars="200"/>
    </w:pPr>
  </w:style>
  <w:style w:type="table" w:customStyle="1" w:styleId="282">
    <w:name w:val="普通表格1"/>
    <w:semiHidden/>
    <w:qFormat/>
    <w:uiPriority w:val="0"/>
    <w:rPr>
      <w:rFonts w:eastAsia="Times New Roman"/>
    </w:rPr>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546517-7977-4DF3-9105-9003DAD3D515}">
  <ds:schemaRefs/>
</ds:datastoreItem>
</file>

<file path=docProps/app.xml><?xml version="1.0" encoding="utf-8"?>
<Properties xmlns="http://schemas.openxmlformats.org/officeDocument/2006/extended-properties" xmlns:vt="http://schemas.openxmlformats.org/officeDocument/2006/docPropsVTypes">
  <Template>Normal</Template>
  <Pages>3</Pages>
  <Words>1427</Words>
  <Characters>8138</Characters>
  <Lines>67</Lines>
  <Paragraphs>19</Paragraphs>
  <TotalTime>0</TotalTime>
  <ScaleCrop>false</ScaleCrop>
  <LinksUpToDate>false</LinksUpToDate>
  <CharactersWithSpaces>9546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2019-05-02T23:31:00Z</dcterms:created>
  <dc:creator>10033860</dc:creator>
  <cp:lastModifiedBy>AI JIANXUN</cp:lastModifiedBy>
  <cp:lastPrinted>2113-01-01T00:00:00Z</cp:lastPrinted>
  <dcterms:modified xsi:type="dcterms:W3CDTF">2019-08-16T06:58:42Z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